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0D66C" w14:textId="0BD723BA" w:rsidR="0095131E" w:rsidRDefault="005A0E0F">
      <w:pPr>
        <w:rPr>
          <w:b/>
          <w:u w:val="single"/>
        </w:rPr>
      </w:pPr>
      <w:r>
        <w:rPr>
          <w:b/>
          <w:u w:val="single"/>
        </w:rPr>
        <w:t>Fences in Inland Surface Waters-</w:t>
      </w:r>
      <w:r w:rsidR="00117AE7">
        <w:rPr>
          <w:b/>
          <w:u w:val="single"/>
        </w:rPr>
        <w:t xml:space="preserve">SEPA’s </w:t>
      </w:r>
      <w:r>
        <w:rPr>
          <w:b/>
          <w:u w:val="single"/>
        </w:rPr>
        <w:t xml:space="preserve">Good Practice Guidance </w:t>
      </w:r>
    </w:p>
    <w:p w14:paraId="0FEEDEB5" w14:textId="77777777" w:rsidR="00BD5A26" w:rsidRDefault="00BD5A26">
      <w:r>
        <w:t>SEPA will not normally require authorisation for fencing that crosses inland surface waters provided that good practice is followed</w:t>
      </w:r>
      <w:r w:rsidR="00D44A43">
        <w:t xml:space="preserve"> to prevent significant impact on the watercourse</w:t>
      </w:r>
      <w:r>
        <w:t xml:space="preserve"> (see below).</w:t>
      </w:r>
    </w:p>
    <w:p w14:paraId="59E280CC" w14:textId="030FA85E" w:rsidR="00BD5A26" w:rsidRPr="00CE5030" w:rsidRDefault="00E71240">
      <w:pPr>
        <w:rPr>
          <w:color w:val="FF0000"/>
        </w:rPr>
      </w:pPr>
      <w:r w:rsidRPr="00CE5030">
        <w:rPr>
          <w:color w:val="FF0000"/>
        </w:rPr>
        <w:t xml:space="preserve">Where </w:t>
      </w:r>
      <w:r w:rsidR="00BD5A26" w:rsidRPr="00CE5030">
        <w:rPr>
          <w:color w:val="FF0000"/>
        </w:rPr>
        <w:t>fencin</w:t>
      </w:r>
      <w:r w:rsidR="00632195" w:rsidRPr="00CE5030">
        <w:rPr>
          <w:color w:val="FF0000"/>
        </w:rPr>
        <w:t xml:space="preserve">g does not follow </w:t>
      </w:r>
      <w:r w:rsidRPr="00CE5030">
        <w:rPr>
          <w:color w:val="FF0000"/>
        </w:rPr>
        <w:t xml:space="preserve">this </w:t>
      </w:r>
      <w:r w:rsidR="00632195" w:rsidRPr="00CE5030">
        <w:rPr>
          <w:color w:val="FF0000"/>
        </w:rPr>
        <w:t>good practice</w:t>
      </w:r>
      <w:r w:rsidRPr="00CE5030">
        <w:rPr>
          <w:color w:val="FF0000"/>
        </w:rPr>
        <w:t>,</w:t>
      </w:r>
      <w:r w:rsidR="00632195" w:rsidRPr="00CE5030">
        <w:rPr>
          <w:color w:val="FF0000"/>
        </w:rPr>
        <w:t xml:space="preserve"> </w:t>
      </w:r>
      <w:r w:rsidR="00BD5A26" w:rsidRPr="00CE5030">
        <w:rPr>
          <w:color w:val="FF0000"/>
        </w:rPr>
        <w:t>an app</w:t>
      </w:r>
      <w:r w:rsidR="005D03D8" w:rsidRPr="00CE5030">
        <w:rPr>
          <w:color w:val="FF0000"/>
        </w:rPr>
        <w:t xml:space="preserve">lication for a licence </w:t>
      </w:r>
      <w:r w:rsidR="00076D57" w:rsidRPr="00CE5030">
        <w:rPr>
          <w:color w:val="FF0000"/>
        </w:rPr>
        <w:t xml:space="preserve">as an in-stream structure </w:t>
      </w:r>
      <w:r w:rsidR="00CD3008" w:rsidRPr="00CE5030">
        <w:rPr>
          <w:color w:val="FF0000"/>
        </w:rPr>
        <w:t xml:space="preserve">will be required </w:t>
      </w:r>
      <w:r w:rsidR="005D03D8" w:rsidRPr="00CE5030">
        <w:rPr>
          <w:color w:val="FF0000"/>
        </w:rPr>
        <w:t>(under the Controll</w:t>
      </w:r>
      <w:r w:rsidRPr="00CE5030">
        <w:rPr>
          <w:color w:val="FF0000"/>
        </w:rPr>
        <w:t>ed Activities Regulations</w:t>
      </w:r>
      <w:r w:rsidR="00D44A43" w:rsidRPr="00CE5030">
        <w:rPr>
          <w:color w:val="FF0000"/>
        </w:rPr>
        <w:t>)</w:t>
      </w:r>
      <w:r w:rsidR="00E56675" w:rsidRPr="00CE5030">
        <w:rPr>
          <w:color w:val="FF0000"/>
        </w:rPr>
        <w:t>. See guidance</w:t>
      </w:r>
      <w:r w:rsidR="008D19A5">
        <w:rPr>
          <w:color w:val="FF0000"/>
        </w:rPr>
        <w:t xml:space="preserve"> on engineering activities</w:t>
      </w:r>
      <w:r w:rsidR="00E56675" w:rsidRPr="00CE5030">
        <w:rPr>
          <w:color w:val="FF0000"/>
        </w:rPr>
        <w:t xml:space="preserve"> in the </w:t>
      </w:r>
      <w:hyperlink r:id="rId5" w:tgtFrame="_blank" w:tooltip="Controlled Activities Regulations - a practical guide" w:history="1">
        <w:r w:rsidR="00E56675" w:rsidRPr="00CE5030">
          <w:rPr>
            <w:rFonts w:cs="Arial"/>
            <w:b/>
            <w:bCs/>
            <w:color w:val="FF0000"/>
            <w:u w:val="single"/>
            <w:lang w:val="en"/>
          </w:rPr>
          <w:t>CAR practical guide</w:t>
        </w:r>
      </w:hyperlink>
      <w:r w:rsidR="00E56675" w:rsidRPr="00CE5030">
        <w:rPr>
          <w:rFonts w:cs="Arial"/>
          <w:color w:val="FF0000"/>
          <w:lang w:val="en"/>
        </w:rPr>
        <w:t>, if in doubt</w:t>
      </w:r>
      <w:r w:rsidR="00D44A43" w:rsidRPr="00CE5030">
        <w:rPr>
          <w:color w:val="FF0000"/>
        </w:rPr>
        <w:t xml:space="preserve"> </w:t>
      </w:r>
      <w:r w:rsidR="00E56675" w:rsidRPr="00CE5030">
        <w:rPr>
          <w:color w:val="FF0000"/>
        </w:rPr>
        <w:t xml:space="preserve">you </w:t>
      </w:r>
      <w:r w:rsidR="00D44A43" w:rsidRPr="00CE5030">
        <w:rPr>
          <w:color w:val="FF0000"/>
        </w:rPr>
        <w:t xml:space="preserve">should discuss this with your </w:t>
      </w:r>
      <w:hyperlink r:id="rId6" w:history="1">
        <w:r w:rsidR="00D44A43" w:rsidRPr="008D19A5">
          <w:rPr>
            <w:rStyle w:val="Hyperlink"/>
          </w:rPr>
          <w:t>local SEPA team</w:t>
        </w:r>
      </w:hyperlink>
      <w:r w:rsidR="00D44A43" w:rsidRPr="00CE5030">
        <w:rPr>
          <w:color w:val="FF0000"/>
        </w:rPr>
        <w:t>.</w:t>
      </w:r>
    </w:p>
    <w:p w14:paraId="6173F10B" w14:textId="77777777" w:rsidR="00BD5A26" w:rsidRDefault="00BD5A26">
      <w:r>
        <w:t>Good Practice requires that:</w:t>
      </w:r>
    </w:p>
    <w:p w14:paraId="37F31228" w14:textId="77777777" w:rsidR="00D44A43" w:rsidRDefault="00D44A43" w:rsidP="00D44A43">
      <w:pPr>
        <w:pStyle w:val="ListParagraph"/>
        <w:numPr>
          <w:ilvl w:val="0"/>
          <w:numId w:val="1"/>
        </w:numPr>
      </w:pPr>
      <w:r>
        <w:t>The structure should not prevent the free passage of migratory fish.</w:t>
      </w:r>
    </w:p>
    <w:p w14:paraId="030C563C" w14:textId="77777777" w:rsidR="00CA2C94" w:rsidRDefault="00FF5383" w:rsidP="00CA2C94">
      <w:pPr>
        <w:pStyle w:val="ListParagraph"/>
        <w:numPr>
          <w:ilvl w:val="0"/>
          <w:numId w:val="1"/>
        </w:numPr>
      </w:pPr>
      <w:r>
        <w:t>Wooden posts/</w:t>
      </w:r>
      <w:proofErr w:type="spellStart"/>
      <w:r>
        <w:t>stobs</w:t>
      </w:r>
      <w:proofErr w:type="spellEnd"/>
      <w:r w:rsidR="00CA2C94">
        <w:t xml:space="preserve"> supporting the fence should be land based and set back from the channel edge.</w:t>
      </w:r>
    </w:p>
    <w:p w14:paraId="0B54FD23" w14:textId="77777777" w:rsidR="00460ED5" w:rsidRDefault="00E837DA" w:rsidP="00CA2C94">
      <w:pPr>
        <w:pStyle w:val="ListParagraph"/>
        <w:numPr>
          <w:ilvl w:val="0"/>
          <w:numId w:val="1"/>
        </w:numPr>
      </w:pPr>
      <w:r>
        <w:t>The activity should</w:t>
      </w:r>
      <w:r w:rsidR="00D44A43">
        <w:t xml:space="preserve"> not involve</w:t>
      </w:r>
      <w:r w:rsidR="00460ED5">
        <w:t xml:space="preserve"> digging or installation that affects the banks or bed of the watercourse.</w:t>
      </w:r>
    </w:p>
    <w:p w14:paraId="567FEA2D" w14:textId="41DBEA5C" w:rsidR="00CA2C94" w:rsidRPr="005316E7" w:rsidRDefault="00CA2C94" w:rsidP="00CA2C94">
      <w:pPr>
        <w:pStyle w:val="ListParagraph"/>
        <w:numPr>
          <w:ilvl w:val="0"/>
          <w:numId w:val="1"/>
        </w:numPr>
      </w:pPr>
      <w:r w:rsidRPr="005316E7">
        <w:t xml:space="preserve">Any wiring should be above high water flows such that it does not act as a </w:t>
      </w:r>
      <w:r w:rsidRPr="00D772A0">
        <w:t>screen to</w:t>
      </w:r>
      <w:r w:rsidR="005316E7" w:rsidRPr="00D772A0">
        <w:t xml:space="preserve"> mammals </w:t>
      </w:r>
      <w:r w:rsidR="005316E7">
        <w:t>or</w:t>
      </w:r>
      <w:r w:rsidRPr="005316E7">
        <w:t xml:space="preserve"> collect debris</w:t>
      </w:r>
      <w:r w:rsidR="00E837DA" w:rsidRPr="005316E7">
        <w:t>.</w:t>
      </w:r>
    </w:p>
    <w:p w14:paraId="0447B59B" w14:textId="56F0A992" w:rsidR="00E837DA" w:rsidRDefault="00E71240" w:rsidP="00CA2C94">
      <w:pPr>
        <w:pStyle w:val="ListParagraph"/>
        <w:numPr>
          <w:ilvl w:val="0"/>
          <w:numId w:val="1"/>
        </w:numPr>
      </w:pPr>
      <w:r>
        <w:t>The s</w:t>
      </w:r>
      <w:r w:rsidR="00E837DA">
        <w:t>tructure sho</w:t>
      </w:r>
      <w:r w:rsidR="00D44A43">
        <w:t>uld be</w:t>
      </w:r>
      <w:r w:rsidR="00E837DA">
        <w:t xml:space="preserve"> </w:t>
      </w:r>
      <w:r>
        <w:t xml:space="preserve">a </w:t>
      </w:r>
      <w:r w:rsidR="004630AB">
        <w:t>‘</w:t>
      </w:r>
      <w:proofErr w:type="spellStart"/>
      <w:r w:rsidR="004630AB">
        <w:t>w</w:t>
      </w:r>
      <w:r w:rsidR="00E837DA">
        <w:t>atergate</w:t>
      </w:r>
      <w:proofErr w:type="spellEnd"/>
      <w:r w:rsidR="004630AB">
        <w:t>’</w:t>
      </w:r>
      <w:r w:rsidR="00E837DA">
        <w:t xml:space="preserve"> feature that has the ability to swing open</w:t>
      </w:r>
      <w:r w:rsidR="004630AB">
        <w:t>.</w:t>
      </w:r>
      <w:r w:rsidR="004630AB" w:rsidRPr="004630AB">
        <w:rPr>
          <w:vertAlign w:val="superscript"/>
        </w:rPr>
        <w:t>1</w:t>
      </w:r>
    </w:p>
    <w:p w14:paraId="4E0EA9C3" w14:textId="015740FE" w:rsidR="00632195" w:rsidRDefault="00632195" w:rsidP="00CA2C94">
      <w:pPr>
        <w:pStyle w:val="ListParagraph"/>
        <w:numPr>
          <w:ilvl w:val="0"/>
          <w:numId w:val="1"/>
        </w:numPr>
      </w:pPr>
      <w:r>
        <w:t>Any wood u</w:t>
      </w:r>
      <w:r w:rsidR="00D44A43">
        <w:t xml:space="preserve">sed in the construction of the </w:t>
      </w:r>
      <w:proofErr w:type="spellStart"/>
      <w:proofErr w:type="gramStart"/>
      <w:r w:rsidR="00D44A43">
        <w:t>w</w:t>
      </w:r>
      <w:r>
        <w:t>atergate</w:t>
      </w:r>
      <w:proofErr w:type="spellEnd"/>
      <w:proofErr w:type="gramEnd"/>
      <w:r>
        <w:t xml:space="preserve"> should be untreated.</w:t>
      </w:r>
    </w:p>
    <w:p w14:paraId="2F912EDA" w14:textId="47013C8F" w:rsidR="002D20AD" w:rsidRPr="00CE5030" w:rsidRDefault="00E837DA" w:rsidP="00CE5030">
      <w:pPr>
        <w:pStyle w:val="ListParagraph"/>
        <w:numPr>
          <w:ilvl w:val="0"/>
          <w:numId w:val="1"/>
        </w:numPr>
      </w:pPr>
      <w:r>
        <w:t>Structures</w:t>
      </w:r>
      <w:r w:rsidR="00834C8E">
        <w:t xml:space="preserve"> should be maintained in a good state of repair and kept clear of debris and obstructions.</w:t>
      </w:r>
    </w:p>
    <w:p w14:paraId="31EAEC52" w14:textId="6E5864BA" w:rsidR="002D20AD" w:rsidRPr="00CE5030" w:rsidRDefault="001A1D0B">
      <w:pPr>
        <w:rPr>
          <w:b/>
          <w:sz w:val="24"/>
          <w:szCs w:val="24"/>
        </w:rPr>
      </w:pPr>
      <w:r>
        <w:rPr>
          <w:b/>
          <w:sz w:val="24"/>
          <w:szCs w:val="24"/>
        </w:rPr>
        <w:t xml:space="preserve">Good practice </w:t>
      </w:r>
      <w:r w:rsidR="00CE5030">
        <w:rPr>
          <w:b/>
          <w:sz w:val="24"/>
          <w:szCs w:val="24"/>
        </w:rPr>
        <w:t>Watergates.</w:t>
      </w:r>
      <w:r w:rsidR="001E075E">
        <w:rPr>
          <w:noProof/>
          <w:u w:val="single"/>
          <w:lang w:eastAsia="en-GB"/>
        </w:rPr>
        <w:drawing>
          <wp:anchor distT="0" distB="0" distL="114300" distR="114300" simplePos="0" relativeHeight="251661312" behindDoc="0" locked="0" layoutInCell="1" allowOverlap="1" wp14:anchorId="70DEEE98" wp14:editId="51B38440">
            <wp:simplePos x="0" y="0"/>
            <wp:positionH relativeFrom="margin">
              <wp:posOffset>3314700</wp:posOffset>
            </wp:positionH>
            <wp:positionV relativeFrom="paragraph">
              <wp:posOffset>289611</wp:posOffset>
            </wp:positionV>
            <wp:extent cx="3728164" cy="2418080"/>
            <wp:effectExtent l="0" t="0" r="571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3728164" cy="241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5030">
        <w:rPr>
          <w:b/>
          <w:sz w:val="24"/>
          <w:szCs w:val="24"/>
        </w:rPr>
        <w:t xml:space="preserve"> </w:t>
      </w:r>
      <w:r w:rsidR="001E075E">
        <w:rPr>
          <w:noProof/>
          <w:u w:val="single"/>
          <w:lang w:eastAsia="en-GB"/>
        </w:rPr>
        <w:t>All wiring above high water flow and wooden supporting</w:t>
      </w:r>
      <w:r w:rsidR="0043646B">
        <w:rPr>
          <w:noProof/>
          <w:u w:val="single"/>
          <w:lang w:eastAsia="en-GB"/>
        </w:rPr>
        <w:t xml:space="preserve"> posts</w:t>
      </w:r>
      <w:r w:rsidR="001E075E">
        <w:rPr>
          <w:noProof/>
          <w:u w:val="single"/>
          <w:lang w:eastAsia="en-GB"/>
        </w:rPr>
        <w:t xml:space="preserve"> are set back</w:t>
      </w:r>
    </w:p>
    <w:p w14:paraId="63FCD719" w14:textId="04D7F843" w:rsidR="002D20AD" w:rsidRDefault="001E075E">
      <w:pPr>
        <w:rPr>
          <w:noProof/>
          <w:u w:val="single"/>
          <w:lang w:eastAsia="en-GB"/>
        </w:rPr>
      </w:pPr>
      <w:r>
        <w:rPr>
          <w:noProof/>
          <w:lang w:eastAsia="en-GB"/>
        </w:rPr>
        <w:drawing>
          <wp:inline distT="0" distB="0" distL="0" distR="0" wp14:anchorId="231A4F13" wp14:editId="7D9ADF57">
            <wp:extent cx="3257550" cy="24208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78837" cy="2436626"/>
                    </a:xfrm>
                    <a:prstGeom prst="rect">
                      <a:avLst/>
                    </a:prstGeom>
                  </pic:spPr>
                </pic:pic>
              </a:graphicData>
            </a:graphic>
          </wp:inline>
        </w:drawing>
      </w:r>
    </w:p>
    <w:p w14:paraId="62040AD2" w14:textId="6D369E3A" w:rsidR="002D20AD" w:rsidRPr="00CE5030" w:rsidRDefault="00CE5030">
      <w:pPr>
        <w:rPr>
          <w:u w:val="single"/>
        </w:rPr>
      </w:pPr>
      <w:r w:rsidRPr="005A0E0F">
        <w:rPr>
          <w:b/>
          <w:sz w:val="24"/>
          <w:szCs w:val="24"/>
        </w:rPr>
        <w:t>Watergate does not meet good practice.</w:t>
      </w:r>
      <w:r>
        <w:rPr>
          <w:b/>
        </w:rPr>
        <w:t xml:space="preserve"> </w:t>
      </w:r>
      <w:r>
        <w:rPr>
          <w:u w:val="single"/>
        </w:rPr>
        <w:t>Debris caught in wiring which is below high water flows</w:t>
      </w:r>
      <w:r w:rsidR="0043646B">
        <w:rPr>
          <w:u w:val="single"/>
        </w:rPr>
        <w:t xml:space="preserve"> and supporting posts are in the river.</w:t>
      </w:r>
    </w:p>
    <w:p w14:paraId="28132068" w14:textId="190EA52D" w:rsidR="005316E7" w:rsidRDefault="001A1D0B">
      <w:r>
        <w:rPr>
          <w:noProof/>
          <w:lang w:eastAsia="en-GB"/>
        </w:rPr>
        <w:drawing>
          <wp:inline distT="0" distB="0" distL="0" distR="0" wp14:anchorId="54900ECF" wp14:editId="00A47F90">
            <wp:extent cx="3263850" cy="19812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63850" cy="1981200"/>
                    </a:xfrm>
                    <a:prstGeom prst="rect">
                      <a:avLst/>
                    </a:prstGeom>
                  </pic:spPr>
                </pic:pic>
              </a:graphicData>
            </a:graphic>
          </wp:inline>
        </w:drawing>
      </w:r>
      <w:bookmarkStart w:id="0" w:name="_GoBack"/>
      <w:bookmarkEnd w:id="0"/>
    </w:p>
    <w:p w14:paraId="0BCEDBB3" w14:textId="7EE8FCAE" w:rsidR="00E71240" w:rsidRDefault="00460ED5">
      <w:r>
        <w:t>SEPA will consider people c</w:t>
      </w:r>
      <w:r w:rsidR="006A23C6">
        <w:t>arrying out the above activity who do not follow good practice and who do not have the correct SEPA authorisation, to be committing an offence under CAR and may take enforcement action or ask for the structure to be removed or altered.</w:t>
      </w:r>
    </w:p>
    <w:p w14:paraId="2B0D0324" w14:textId="46BE7A5A" w:rsidR="004630AB" w:rsidRDefault="00E71240" w:rsidP="005316E7">
      <w:r w:rsidRPr="00E71240">
        <w:rPr>
          <w:vertAlign w:val="superscript"/>
        </w:rPr>
        <w:t>1</w:t>
      </w:r>
      <w:r w:rsidR="004630AB">
        <w:t>Information on Watergates can be found at</w:t>
      </w:r>
      <w:r>
        <w:t xml:space="preserve"> </w:t>
      </w:r>
      <w:hyperlink r:id="rId10" w:history="1">
        <w:r w:rsidR="004630AB" w:rsidRPr="00B27C31">
          <w:rPr>
            <w:rStyle w:val="Hyperlink"/>
          </w:rPr>
          <w:t>http://adlib.everysite.co.uk/adlib/defra/content.aspx?id=000HK277ZX.0HAMAXCK1XW7SWA</w:t>
        </w:r>
      </w:hyperlink>
    </w:p>
    <w:sectPr w:rsidR="004630AB" w:rsidSect="000E35E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3D6622"/>
    <w:multiLevelType w:val="hybridMultilevel"/>
    <w:tmpl w:val="9872F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442773"/>
    <w:multiLevelType w:val="hybridMultilevel"/>
    <w:tmpl w:val="64B60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7550B2"/>
    <w:multiLevelType w:val="hybridMultilevel"/>
    <w:tmpl w:val="874E5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E80064C"/>
    <w:multiLevelType w:val="hybridMultilevel"/>
    <w:tmpl w:val="6D34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A26"/>
    <w:rsid w:val="00076D57"/>
    <w:rsid w:val="000E35E6"/>
    <w:rsid w:val="00117AE7"/>
    <w:rsid w:val="001A1D0B"/>
    <w:rsid w:val="001B212C"/>
    <w:rsid w:val="001E075E"/>
    <w:rsid w:val="002D20AD"/>
    <w:rsid w:val="00313ECA"/>
    <w:rsid w:val="0043646B"/>
    <w:rsid w:val="00460ED5"/>
    <w:rsid w:val="004630AB"/>
    <w:rsid w:val="005316E7"/>
    <w:rsid w:val="005A0E0F"/>
    <w:rsid w:val="005D03D8"/>
    <w:rsid w:val="00632195"/>
    <w:rsid w:val="006508AE"/>
    <w:rsid w:val="006A23C6"/>
    <w:rsid w:val="00834C8E"/>
    <w:rsid w:val="008D19A5"/>
    <w:rsid w:val="0095131E"/>
    <w:rsid w:val="00B6693F"/>
    <w:rsid w:val="00BD1DEF"/>
    <w:rsid w:val="00BD5A26"/>
    <w:rsid w:val="00C156DD"/>
    <w:rsid w:val="00CA2C94"/>
    <w:rsid w:val="00CD3008"/>
    <w:rsid w:val="00CE5030"/>
    <w:rsid w:val="00D040F2"/>
    <w:rsid w:val="00D44A43"/>
    <w:rsid w:val="00D772A0"/>
    <w:rsid w:val="00E56675"/>
    <w:rsid w:val="00E71240"/>
    <w:rsid w:val="00E837DA"/>
    <w:rsid w:val="00ED57C9"/>
    <w:rsid w:val="00FE0FE9"/>
    <w:rsid w:val="00FF53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D96EC"/>
  <w15:chartTrackingRefBased/>
  <w15:docId w15:val="{1190F3EC-96D9-4849-9681-94B4947DF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C94"/>
    <w:pPr>
      <w:ind w:left="720"/>
      <w:contextualSpacing/>
    </w:pPr>
  </w:style>
  <w:style w:type="character" w:styleId="Hyperlink">
    <w:name w:val="Hyperlink"/>
    <w:basedOn w:val="DefaultParagraphFont"/>
    <w:uiPriority w:val="99"/>
    <w:unhideWhenUsed/>
    <w:rsid w:val="004630AB"/>
    <w:rPr>
      <w:color w:val="0563C1" w:themeColor="hyperlink"/>
      <w:u w:val="single"/>
    </w:rPr>
  </w:style>
  <w:style w:type="character" w:styleId="FollowedHyperlink">
    <w:name w:val="FollowedHyperlink"/>
    <w:basedOn w:val="DefaultParagraphFont"/>
    <w:uiPriority w:val="99"/>
    <w:semiHidden/>
    <w:unhideWhenUsed/>
    <w:rsid w:val="00117AE7"/>
    <w:rPr>
      <w:color w:val="954F72" w:themeColor="followedHyperlink"/>
      <w:u w:val="single"/>
    </w:rPr>
  </w:style>
  <w:style w:type="character" w:styleId="CommentReference">
    <w:name w:val="annotation reference"/>
    <w:basedOn w:val="DefaultParagraphFont"/>
    <w:uiPriority w:val="99"/>
    <w:semiHidden/>
    <w:unhideWhenUsed/>
    <w:rsid w:val="00D040F2"/>
    <w:rPr>
      <w:sz w:val="16"/>
      <w:szCs w:val="16"/>
    </w:rPr>
  </w:style>
  <w:style w:type="paragraph" w:styleId="CommentText">
    <w:name w:val="annotation text"/>
    <w:basedOn w:val="Normal"/>
    <w:link w:val="CommentTextChar"/>
    <w:uiPriority w:val="99"/>
    <w:semiHidden/>
    <w:unhideWhenUsed/>
    <w:rsid w:val="00D040F2"/>
    <w:pPr>
      <w:spacing w:line="240" w:lineRule="auto"/>
    </w:pPr>
    <w:rPr>
      <w:sz w:val="20"/>
      <w:szCs w:val="20"/>
    </w:rPr>
  </w:style>
  <w:style w:type="character" w:customStyle="1" w:styleId="CommentTextChar">
    <w:name w:val="Comment Text Char"/>
    <w:basedOn w:val="DefaultParagraphFont"/>
    <w:link w:val="CommentText"/>
    <w:uiPriority w:val="99"/>
    <w:semiHidden/>
    <w:rsid w:val="00D040F2"/>
    <w:rPr>
      <w:sz w:val="20"/>
      <w:szCs w:val="20"/>
    </w:rPr>
  </w:style>
  <w:style w:type="paragraph" w:styleId="CommentSubject">
    <w:name w:val="annotation subject"/>
    <w:basedOn w:val="CommentText"/>
    <w:next w:val="CommentText"/>
    <w:link w:val="CommentSubjectChar"/>
    <w:uiPriority w:val="99"/>
    <w:semiHidden/>
    <w:unhideWhenUsed/>
    <w:rsid w:val="00D040F2"/>
    <w:rPr>
      <w:b/>
      <w:bCs/>
    </w:rPr>
  </w:style>
  <w:style w:type="character" w:customStyle="1" w:styleId="CommentSubjectChar">
    <w:name w:val="Comment Subject Char"/>
    <w:basedOn w:val="CommentTextChar"/>
    <w:link w:val="CommentSubject"/>
    <w:uiPriority w:val="99"/>
    <w:semiHidden/>
    <w:rsid w:val="00D040F2"/>
    <w:rPr>
      <w:b/>
      <w:bCs/>
      <w:sz w:val="20"/>
      <w:szCs w:val="20"/>
    </w:rPr>
  </w:style>
  <w:style w:type="paragraph" w:styleId="BalloonText">
    <w:name w:val="Balloon Text"/>
    <w:basedOn w:val="Normal"/>
    <w:link w:val="BalloonTextChar"/>
    <w:uiPriority w:val="99"/>
    <w:semiHidden/>
    <w:unhideWhenUsed/>
    <w:rsid w:val="00D040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40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epa.org.uk/contact/" TargetMode="External"/><Relationship Id="rId11" Type="http://schemas.openxmlformats.org/officeDocument/2006/relationships/fontTable" Target="fontTable.xml"/><Relationship Id="rId5" Type="http://schemas.openxmlformats.org/officeDocument/2006/relationships/hyperlink" Target="https://www.sepa.org.uk/media/34761/car-practical-guide-v8-final.pdf" TargetMode="External"/><Relationship Id="rId15" Type="http://schemas.openxmlformats.org/officeDocument/2006/relationships/customXml" Target="../customXml/item3.xml"/><Relationship Id="rId10" Type="http://schemas.openxmlformats.org/officeDocument/2006/relationships/hyperlink" Target="http://adlib.everysite.co.uk/adlib/defra/content.aspx?id=000HK277ZX.0HAMAXCK1XW7SW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F9D9D004AF5F489BC47FF38AFB1E6E" ma:contentTypeVersion="12" ma:contentTypeDescription="Create a new document." ma:contentTypeScope="" ma:versionID="d7ae57908d641b98de1097505d567e57">
  <xsd:schema xmlns:xsd="http://www.w3.org/2001/XMLSchema" xmlns:xs="http://www.w3.org/2001/XMLSchema" xmlns:p="http://schemas.microsoft.com/office/2006/metadata/properties" xmlns:ns2="8afd1ad5-5107-43c2-ba38-4c31b4368148" xmlns:ns3="29da38a8-07d3-47b2-bdaa-a137fa1370e2" targetNamespace="http://schemas.microsoft.com/office/2006/metadata/properties" ma:root="true" ma:fieldsID="ade7458ac9196dc9b209061a1a681526" ns2:_="" ns3:_="">
    <xsd:import namespace="8afd1ad5-5107-43c2-ba38-4c31b4368148"/>
    <xsd:import namespace="29da38a8-07d3-47b2-bdaa-a137fa1370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fd1ad5-5107-43c2-ba38-4c31b43681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da38a8-07d3-47b2-bdaa-a137fa1370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546E81-7CE3-4986-8AFD-51C2607957F2}"/>
</file>

<file path=customXml/itemProps2.xml><?xml version="1.0" encoding="utf-8"?>
<ds:datastoreItem xmlns:ds="http://schemas.openxmlformats.org/officeDocument/2006/customXml" ds:itemID="{5FEC73D1-F10B-4014-93A6-9FF1B6C56806}"/>
</file>

<file path=customXml/itemProps3.xml><?xml version="1.0" encoding="utf-8"?>
<ds:datastoreItem xmlns:ds="http://schemas.openxmlformats.org/officeDocument/2006/customXml" ds:itemID="{50C9548C-623D-4BFA-901A-5C67317B15EC}"/>
</file>

<file path=docProps/app.xml><?xml version="1.0" encoding="utf-8"?>
<Properties xmlns="http://schemas.openxmlformats.org/officeDocument/2006/extended-properties" xmlns:vt="http://schemas.openxmlformats.org/officeDocument/2006/docPropsVTypes">
  <Template>12C4D424</Template>
  <TotalTime>46</TotalTime>
  <Pages>1</Pages>
  <Words>322</Words>
  <Characters>1837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SEPA</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McGeachy, Emma</dc:creator>
  <cp:keywords/>
  <dc:description/>
  <cp:lastModifiedBy>McGeachy, Emma</cp:lastModifiedBy>
  <cp:revision>7</cp:revision>
  <dcterms:created xsi:type="dcterms:W3CDTF">2018-04-19T14:17:00Z</dcterms:created>
  <dcterms:modified xsi:type="dcterms:W3CDTF">2018-05-17T09:36:00Z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0x01010054F9D9D004AF5F489BC47FF38AFB1E6E</vt:lpwstr>
  </property>
</Properties>
</file>