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D5CA2" w14:textId="66279DCC" w:rsidR="006A2C15" w:rsidRPr="006968EA" w:rsidRDefault="006A2C15">
      <w:pPr>
        <w:spacing w:after="0" w:line="240" w:lineRule="auto"/>
        <w:rPr>
          <w:rFonts w:ascii="Arial" w:hAnsi="Arial" w:cs="Arial"/>
          <w:color w:val="FF0000"/>
        </w:rPr>
      </w:pPr>
    </w:p>
    <w:p w14:paraId="0BA76E93" w14:textId="77777777" w:rsidR="006A2C15" w:rsidRPr="006968EA" w:rsidRDefault="006A2C15" w:rsidP="00CB0893">
      <w:pPr>
        <w:spacing w:after="0"/>
        <w:rPr>
          <w:rFonts w:ascii="Arial" w:hAnsi="Arial" w:cs="Arial"/>
          <w:color w:val="FF0000"/>
        </w:rPr>
      </w:pPr>
    </w:p>
    <w:p w14:paraId="5BCCE7F9" w14:textId="77777777" w:rsidR="0044785F" w:rsidRPr="0044785F" w:rsidRDefault="0044785F" w:rsidP="0044785F">
      <w:pPr>
        <w:overflowPunct w:val="0"/>
        <w:autoSpaceDE w:val="0"/>
        <w:autoSpaceDN w:val="0"/>
        <w:adjustRightInd w:val="0"/>
        <w:spacing w:line="360" w:lineRule="auto"/>
        <w:jc w:val="right"/>
        <w:textAlignment w:val="baseline"/>
        <w:rPr>
          <w:rFonts w:ascii="Arial" w:eastAsia="Times New Roman" w:hAnsi="Arial"/>
          <w:b/>
          <w:color w:val="00526F"/>
          <w:sz w:val="52"/>
          <w:szCs w:val="52"/>
        </w:rPr>
      </w:pPr>
      <w:bookmarkStart w:id="0" w:name="Annex_1"/>
      <w:r w:rsidRPr="0044785F">
        <w:rPr>
          <w:rFonts w:ascii="Arial" w:eastAsia="Times New Roman" w:hAnsi="Arial"/>
          <w:noProof/>
          <w:sz w:val="24"/>
          <w:szCs w:val="20"/>
          <w:lang w:eastAsia="en-GB"/>
        </w:rPr>
        <w:drawing>
          <wp:inline distT="0" distB="0" distL="0" distR="0" wp14:anchorId="6D06C58D" wp14:editId="37D5A6A9">
            <wp:extent cx="1674879" cy="1524198"/>
            <wp:effectExtent l="0" t="0" r="1905" b="0"/>
            <wp:docPr id="5" name="Picture 5" descr="P:\COMMUNICATIONS\NEW FOLDER STRUCTURE\3. Brand Marketing\Brand\Logos\SEPA logo\SEPA Gaelic logo w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MMUNICATIONS\NEW FOLDER STRUCTURE\3. Brand Marketing\Brand\Logos\SEPA logo\SEPA Gaelic logo wEnglis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9913" cy="1574281"/>
                    </a:xfrm>
                    <a:prstGeom prst="rect">
                      <a:avLst/>
                    </a:prstGeom>
                    <a:noFill/>
                    <a:ln>
                      <a:noFill/>
                    </a:ln>
                  </pic:spPr>
                </pic:pic>
              </a:graphicData>
            </a:graphic>
          </wp:inline>
        </w:drawing>
      </w:r>
    </w:p>
    <w:p w14:paraId="5EEC2ED8" w14:textId="77777777" w:rsidR="0044785F" w:rsidRPr="0044785F" w:rsidRDefault="0044785F" w:rsidP="0044785F">
      <w:pPr>
        <w:spacing w:after="0" w:line="240" w:lineRule="auto"/>
        <w:jc w:val="both"/>
        <w:rPr>
          <w:rFonts w:ascii="Arial" w:eastAsia="Times New Roman" w:hAnsi="Arial"/>
          <w:b/>
          <w:color w:val="00526F"/>
          <w:sz w:val="52"/>
          <w:szCs w:val="52"/>
        </w:rPr>
      </w:pPr>
      <w:r w:rsidRPr="0044785F">
        <w:rPr>
          <w:rFonts w:ascii="Arial" w:eastAsia="Times New Roman" w:hAnsi="Arial"/>
          <w:b/>
          <w:noProof/>
          <w:color w:val="00526F"/>
          <w:sz w:val="52"/>
          <w:szCs w:val="52"/>
          <w:lang w:eastAsia="en-GB"/>
        </w:rPr>
        <mc:AlternateContent>
          <mc:Choice Requires="wps">
            <w:drawing>
              <wp:anchor distT="0" distB="0" distL="114300" distR="114300" simplePos="0" relativeHeight="251659264" behindDoc="1" locked="0" layoutInCell="1" allowOverlap="1" wp14:anchorId="1A6785BA" wp14:editId="1081EC5E">
                <wp:simplePos x="0" y="0"/>
                <wp:positionH relativeFrom="page">
                  <wp:posOffset>0</wp:posOffset>
                </wp:positionH>
                <wp:positionV relativeFrom="paragraph">
                  <wp:posOffset>472647</wp:posOffset>
                </wp:positionV>
                <wp:extent cx="6049645" cy="2051685"/>
                <wp:effectExtent l="0" t="0" r="27305" b="24765"/>
                <wp:wrapNone/>
                <wp:docPr id="4" name="Rectangle 4"/>
                <wp:cNvGraphicFramePr/>
                <a:graphic xmlns:a="http://schemas.openxmlformats.org/drawingml/2006/main">
                  <a:graphicData uri="http://schemas.microsoft.com/office/word/2010/wordprocessingShape">
                    <wps:wsp>
                      <wps:cNvSpPr/>
                      <wps:spPr>
                        <a:xfrm>
                          <a:off x="0" y="0"/>
                          <a:ext cx="6049645" cy="2051685"/>
                        </a:xfrm>
                        <a:prstGeom prst="rect">
                          <a:avLst/>
                        </a:prstGeom>
                        <a:solidFill>
                          <a:srgbClr val="73AE57"/>
                        </a:solidFill>
                        <a:ln w="25400" cap="flat" cmpd="sng" algn="ctr">
                          <a:solidFill>
                            <a:srgbClr val="73AE57"/>
                          </a:solidFill>
                          <a:prstDash val="solid"/>
                        </a:ln>
                        <a:effectLst/>
                      </wps:spPr>
                      <wps:txbx>
                        <w:txbxContent>
                          <w:p w14:paraId="27DED9AD" w14:textId="77777777" w:rsidR="0044785F" w:rsidRPr="0044785F" w:rsidRDefault="0044785F" w:rsidP="0044785F">
                            <w:pPr>
                              <w:rPr>
                                <w:rFonts w:ascii="Arial Narrow" w:hAnsi="Arial Narrow"/>
                                <w:b/>
                                <w:color w:val="FFFFFF"/>
                                <w:sz w:val="20"/>
                              </w:rPr>
                            </w:pPr>
                          </w:p>
                          <w:p w14:paraId="2B51813D" w14:textId="61D4C799" w:rsidR="0044785F" w:rsidRPr="0044785F" w:rsidRDefault="0044785F" w:rsidP="0044785F">
                            <w:pPr>
                              <w:ind w:left="284"/>
                              <w:rPr>
                                <w:rFonts w:ascii="Arial Narrow" w:hAnsi="Arial Narrow"/>
                                <w:b/>
                                <w:color w:val="FFFFFF"/>
                                <w:sz w:val="56"/>
                                <w:szCs w:val="56"/>
                              </w:rPr>
                            </w:pPr>
                            <w:r>
                              <w:rPr>
                                <w:rFonts w:ascii="Arial Narrow" w:hAnsi="Arial Narrow"/>
                                <w:b/>
                                <w:color w:val="FFFFFF"/>
                                <w:sz w:val="56"/>
                                <w:szCs w:val="56"/>
                              </w:rPr>
                              <w:t>PROCUREMENT ANNUAL REPORT</w:t>
                            </w:r>
                          </w:p>
                          <w:p w14:paraId="70D7CE42" w14:textId="77777777" w:rsidR="0044785F" w:rsidRPr="0044785F" w:rsidRDefault="0044785F" w:rsidP="0044785F">
                            <w:pPr>
                              <w:ind w:left="284"/>
                              <w:rPr>
                                <w:rFonts w:ascii="Arial Narrow" w:hAnsi="Arial Narrow"/>
                                <w:b/>
                                <w:color w:val="FFFFFF"/>
                                <w:sz w:val="20"/>
                              </w:rPr>
                            </w:pPr>
                          </w:p>
                          <w:p w14:paraId="2210B6A9" w14:textId="49DAA844" w:rsidR="0044785F" w:rsidRPr="0044785F" w:rsidRDefault="0044785F" w:rsidP="0044785F">
                            <w:pPr>
                              <w:ind w:left="284"/>
                              <w:rPr>
                                <w:rFonts w:ascii="Arial Narrow" w:hAnsi="Arial Narrow"/>
                                <w:b/>
                                <w:color w:val="FFFFFF"/>
                                <w:sz w:val="36"/>
                                <w:szCs w:val="36"/>
                              </w:rPr>
                            </w:pPr>
                            <w:r>
                              <w:rPr>
                                <w:rFonts w:ascii="Arial Narrow" w:hAnsi="Arial Narrow"/>
                                <w:b/>
                                <w:color w:val="FFFFFF"/>
                                <w:sz w:val="36"/>
                                <w:szCs w:val="36"/>
                              </w:rPr>
                              <w:t xml:space="preserve">2019 – 2020 </w:t>
                            </w:r>
                          </w:p>
                          <w:p w14:paraId="763C2E75" w14:textId="77777777" w:rsidR="0044785F" w:rsidRPr="0044785F" w:rsidRDefault="0044785F" w:rsidP="0044785F">
                            <w:pPr>
                              <w:ind w:left="284"/>
                              <w:rPr>
                                <w:rFonts w:ascii="Arial Narrow" w:hAnsi="Arial Narrow"/>
                                <w:b/>
                                <w:color w:val="FFFFFF"/>
                                <w:sz w:val="36"/>
                                <w:szCs w:val="36"/>
                              </w:rPr>
                            </w:pPr>
                          </w:p>
                          <w:p w14:paraId="7DCF4020" w14:textId="77777777" w:rsidR="0044785F" w:rsidRPr="0044785F" w:rsidRDefault="0044785F" w:rsidP="0044785F">
                            <w:pPr>
                              <w:ind w:left="284"/>
                              <w:rPr>
                                <w:rFonts w:ascii="Arial Narrow" w:hAnsi="Arial Narrow"/>
                                <w:b/>
                                <w:color w:val="FFFFFF"/>
                                <w:sz w:val="36"/>
                                <w:szCs w:val="36"/>
                              </w:rPr>
                            </w:pPr>
                          </w:p>
                          <w:p w14:paraId="12DC151F" w14:textId="77777777" w:rsidR="0044785F" w:rsidRPr="0044785F" w:rsidRDefault="0044785F" w:rsidP="0044785F">
                            <w:pPr>
                              <w:ind w:left="284"/>
                              <w:rPr>
                                <w:rFonts w:ascii="Arial Narrow" w:hAnsi="Arial Narrow"/>
                                <w:b/>
                                <w:color w:val="FFFFFF"/>
                                <w:sz w:val="36"/>
                                <w:szCs w:val="36"/>
                              </w:rPr>
                            </w:pPr>
                          </w:p>
                          <w:p w14:paraId="202305BA" w14:textId="77777777" w:rsidR="0044785F" w:rsidRPr="0044785F" w:rsidRDefault="0044785F" w:rsidP="0044785F">
                            <w:pPr>
                              <w:ind w:left="284"/>
                              <w:rPr>
                                <w:rFonts w:ascii="Arial Narrow" w:hAnsi="Arial Narrow"/>
                                <w:b/>
                                <w:color w:val="FFFFFF"/>
                                <w:sz w:val="36"/>
                                <w:szCs w:val="36"/>
                              </w:rPr>
                            </w:pPr>
                          </w:p>
                          <w:p w14:paraId="7A9F84A3" w14:textId="77777777" w:rsidR="0044785F" w:rsidRDefault="0044785F" w:rsidP="0044785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6785BA" id="Rectangle 4" o:spid="_x0000_s1026" style="position:absolute;left:0;text-align:left;margin-left:0;margin-top:37.2pt;width:476.35pt;height:161.55pt;z-index:-25165721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" fillcolor="#73ae57" strokecolor="#73ae57" strokeweight="2pt">
                <v:textbox>
                  <w:txbxContent>
                    <w:p w14:paraId="27DED9AD" w14:textId="77777777" w:rsidR="0044785F" w:rsidRPr="0044785F" w:rsidRDefault="0044785F" w:rsidP="0044785F">
                      <w:pPr>
                        <w:rPr>
                          <w:rFonts w:ascii="Arial Narrow" w:hAnsi="Arial Narrow"/>
                          <w:b/>
                          <w:color w:val="FFFFFF"/>
                          <w:sz w:val="20"/>
                        </w:rPr>
                      </w:pPr>
                    </w:p>
                    <w:p w14:paraId="2B51813D" w14:textId="61D4C799" w:rsidR="0044785F" w:rsidRPr="0044785F" w:rsidRDefault="0044785F" w:rsidP="0044785F">
                      <w:pPr>
                        <w:ind w:left="284"/>
                        <w:rPr>
                          <w:rFonts w:ascii="Arial Narrow" w:hAnsi="Arial Narrow"/>
                          <w:b/>
                          <w:color w:val="FFFFFF"/>
                          <w:sz w:val="56"/>
                          <w:szCs w:val="56"/>
                        </w:rPr>
                      </w:pPr>
                      <w:r>
                        <w:rPr>
                          <w:rFonts w:ascii="Arial Narrow" w:hAnsi="Arial Narrow"/>
                          <w:b/>
                          <w:color w:val="FFFFFF"/>
                          <w:sz w:val="56"/>
                          <w:szCs w:val="56"/>
                        </w:rPr>
                        <w:t>PROCUREMENT ANNUAL REPORT</w:t>
                      </w:r>
                    </w:p>
                    <w:p w14:paraId="70D7CE42" w14:textId="77777777" w:rsidR="0044785F" w:rsidRPr="0044785F" w:rsidRDefault="0044785F" w:rsidP="0044785F">
                      <w:pPr>
                        <w:ind w:left="284"/>
                        <w:rPr>
                          <w:rFonts w:ascii="Arial Narrow" w:hAnsi="Arial Narrow"/>
                          <w:b/>
                          <w:color w:val="FFFFFF"/>
                          <w:sz w:val="20"/>
                        </w:rPr>
                      </w:pPr>
                    </w:p>
                    <w:p w14:paraId="2210B6A9" w14:textId="49DAA844" w:rsidR="0044785F" w:rsidRPr="0044785F" w:rsidRDefault="0044785F" w:rsidP="0044785F">
                      <w:pPr>
                        <w:ind w:left="284"/>
                        <w:rPr>
                          <w:rFonts w:ascii="Arial Narrow" w:hAnsi="Arial Narrow"/>
                          <w:b/>
                          <w:color w:val="FFFFFF"/>
                          <w:sz w:val="36"/>
                          <w:szCs w:val="36"/>
                        </w:rPr>
                      </w:pPr>
                      <w:r>
                        <w:rPr>
                          <w:rFonts w:ascii="Arial Narrow" w:hAnsi="Arial Narrow"/>
                          <w:b/>
                          <w:color w:val="FFFFFF"/>
                          <w:sz w:val="36"/>
                          <w:szCs w:val="36"/>
                        </w:rPr>
                        <w:t xml:space="preserve">2019 – 2020 </w:t>
                      </w:r>
                    </w:p>
                    <w:p w14:paraId="763C2E75" w14:textId="77777777" w:rsidR="0044785F" w:rsidRPr="0044785F" w:rsidRDefault="0044785F" w:rsidP="0044785F">
                      <w:pPr>
                        <w:ind w:left="284"/>
                        <w:rPr>
                          <w:rFonts w:ascii="Arial Narrow" w:hAnsi="Arial Narrow"/>
                          <w:b/>
                          <w:color w:val="FFFFFF"/>
                          <w:sz w:val="36"/>
                          <w:szCs w:val="36"/>
                        </w:rPr>
                      </w:pPr>
                    </w:p>
                    <w:p w14:paraId="7DCF4020" w14:textId="77777777" w:rsidR="0044785F" w:rsidRPr="0044785F" w:rsidRDefault="0044785F" w:rsidP="0044785F">
                      <w:pPr>
                        <w:ind w:left="284"/>
                        <w:rPr>
                          <w:rFonts w:ascii="Arial Narrow" w:hAnsi="Arial Narrow"/>
                          <w:b/>
                          <w:color w:val="FFFFFF"/>
                          <w:sz w:val="36"/>
                          <w:szCs w:val="36"/>
                        </w:rPr>
                      </w:pPr>
                    </w:p>
                    <w:p w14:paraId="12DC151F" w14:textId="77777777" w:rsidR="0044785F" w:rsidRPr="0044785F" w:rsidRDefault="0044785F" w:rsidP="0044785F">
                      <w:pPr>
                        <w:ind w:left="284"/>
                        <w:rPr>
                          <w:rFonts w:ascii="Arial Narrow" w:hAnsi="Arial Narrow"/>
                          <w:b/>
                          <w:color w:val="FFFFFF"/>
                          <w:sz w:val="36"/>
                          <w:szCs w:val="36"/>
                        </w:rPr>
                      </w:pPr>
                    </w:p>
                    <w:p w14:paraId="202305BA" w14:textId="77777777" w:rsidR="0044785F" w:rsidRPr="0044785F" w:rsidRDefault="0044785F" w:rsidP="0044785F">
                      <w:pPr>
                        <w:ind w:left="284"/>
                        <w:rPr>
                          <w:rFonts w:ascii="Arial Narrow" w:hAnsi="Arial Narrow"/>
                          <w:b/>
                          <w:color w:val="FFFFFF"/>
                          <w:sz w:val="36"/>
                          <w:szCs w:val="36"/>
                        </w:rPr>
                      </w:pPr>
                    </w:p>
                    <w:p w14:paraId="7A9F84A3" w14:textId="77777777" w:rsidR="0044785F" w:rsidRDefault="0044785F" w:rsidP="0044785F">
                      <w:pPr>
                        <w:jc w:val="center"/>
                      </w:pPr>
                    </w:p>
                  </w:txbxContent>
                </v:textbox>
                <w10:wrap anchorx="page"/>
              </v:rect>
            </w:pict>
          </mc:Fallback>
        </mc:AlternateContent>
      </w:r>
    </w:p>
    <w:p w14:paraId="25CE0A2F" w14:textId="77777777" w:rsidR="0044785F" w:rsidRPr="0044785F" w:rsidRDefault="0044785F" w:rsidP="0044785F">
      <w:pPr>
        <w:spacing w:after="0" w:line="240" w:lineRule="auto"/>
        <w:jc w:val="both"/>
        <w:rPr>
          <w:rFonts w:ascii="Arial" w:eastAsia="Times New Roman" w:hAnsi="Arial"/>
          <w:b/>
          <w:color w:val="00526F"/>
          <w:sz w:val="52"/>
          <w:szCs w:val="52"/>
        </w:rPr>
      </w:pPr>
      <w:r w:rsidRPr="0044785F">
        <w:rPr>
          <w:rFonts w:ascii="Arial" w:eastAsia="Times New Roman" w:hAnsi="Arial"/>
          <w:b/>
          <w:noProof/>
          <w:color w:val="00526F"/>
          <w:sz w:val="52"/>
          <w:szCs w:val="52"/>
          <w:lang w:eastAsia="en-GB"/>
        </w:rPr>
        <mc:AlternateContent>
          <mc:Choice Requires="wps">
            <w:drawing>
              <wp:anchor distT="45720" distB="45720" distL="114300" distR="114300" simplePos="0" relativeHeight="251660288" behindDoc="0" locked="0" layoutInCell="1" allowOverlap="1" wp14:anchorId="635583AD" wp14:editId="62A96028">
                <wp:simplePos x="0" y="0"/>
                <wp:positionH relativeFrom="page">
                  <wp:align>right</wp:align>
                </wp:positionH>
                <wp:positionV relativeFrom="paragraph">
                  <wp:posOffset>5338844</wp:posOffset>
                </wp:positionV>
                <wp:extent cx="7538085" cy="2360295"/>
                <wp:effectExtent l="0" t="0" r="5715"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2360295"/>
                        </a:xfrm>
                        <a:prstGeom prst="rect">
                          <a:avLst/>
                        </a:prstGeom>
                        <a:solidFill>
                          <a:srgbClr val="FFFFFF"/>
                        </a:solidFill>
                        <a:ln w="9525">
                          <a:noFill/>
                          <a:miter lim="800000"/>
                          <a:headEnd/>
                          <a:tailEnd/>
                        </a:ln>
                      </wps:spPr>
                      <wps:txbx>
                        <w:txbxContent>
                          <w:p w14:paraId="0C70E4D0" w14:textId="77777777" w:rsidR="0044785F" w:rsidRDefault="0044785F" w:rsidP="0044785F">
                            <w:r>
                              <w:rPr>
                                <w:b/>
                                <w:noProof/>
                                <w:color w:val="00526F"/>
                                <w:sz w:val="52"/>
                                <w:szCs w:val="52"/>
                                <w:lang w:eastAsia="en-GB"/>
                              </w:rPr>
                              <w:drawing>
                                <wp:inline distT="0" distB="0" distL="0" distR="0" wp14:anchorId="36CA2FE6" wp14:editId="059C649F">
                                  <wp:extent cx="7283302" cy="232987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tion for report front cover graphic.png"/>
                                          <pic:cNvPicPr/>
                                        </pic:nvPicPr>
                                        <pic:blipFill>
                                          <a:blip r:embed="rId9">
                                            <a:extLst>
                                              <a:ext uri="{28A0092B-C50C-407E-A947-70E740481C1C}">
                                                <a14:useLocalDpi xmlns:a14="http://schemas.microsoft.com/office/drawing/2010/main" val="0"/>
                                              </a:ext>
                                            </a:extLst>
                                          </a:blip>
                                          <a:stretch>
                                            <a:fillRect/>
                                          </a:stretch>
                                        </pic:blipFill>
                                        <pic:spPr>
                                          <a:xfrm>
                                            <a:off x="0" y="0"/>
                                            <a:ext cx="7322717" cy="234248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5583AD" id="_x0000_t202" coordsize="21600,21600" o:spt="202" path="m,l,21600r21600,l21600,xe">
                <v:stroke joinstyle="miter"/>
                <v:path gradientshapeok="t" o:connecttype="rect"/>
              </v:shapetype>
              <v:shape id="Text Box 2" o:spid="_x0000_s1027" type="#_x0000_t202" style="position:absolute;left:0;text-align:left;margin-left:542.35pt;margin-top:420.4pt;width:593.55pt;height:185.85pt;z-index:25166028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fE8JgIAACU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" stroked="f">
                <v:textbox>
                  <w:txbxContent>
                    <w:p w14:paraId="0C70E4D0" w14:textId="77777777" w:rsidR="0044785F" w:rsidRDefault="0044785F" w:rsidP="0044785F">
                      <w:r>
                        <w:rPr>
                          <w:b/>
                          <w:noProof/>
                          <w:color w:val="00526F"/>
                          <w:sz w:val="52"/>
                          <w:szCs w:val="52"/>
                          <w:lang w:eastAsia="en-GB"/>
                        </w:rPr>
                        <w:drawing>
                          <wp:inline distT="0" distB="0" distL="0" distR="0" wp14:anchorId="36CA2FE6" wp14:editId="059C649F">
                            <wp:extent cx="7283302" cy="232987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tion for report front cover graphic.png"/>
                                    <pic:cNvPicPr/>
                                  </pic:nvPicPr>
                                  <pic:blipFill>
                                    <a:blip r:embed="rId10">
                                      <a:extLst>
                                        <a:ext uri="{28A0092B-C50C-407E-A947-70E740481C1C}">
                                          <a14:useLocalDpi xmlns:a14="http://schemas.microsoft.com/office/drawing/2010/main" val="0"/>
                                        </a:ext>
                                      </a:extLst>
                                    </a:blip>
                                    <a:stretch>
                                      <a:fillRect/>
                                    </a:stretch>
                                  </pic:blipFill>
                                  <pic:spPr>
                                    <a:xfrm>
                                      <a:off x="0" y="0"/>
                                      <a:ext cx="7322717" cy="2342485"/>
                                    </a:xfrm>
                                    <a:prstGeom prst="rect">
                                      <a:avLst/>
                                    </a:prstGeom>
                                  </pic:spPr>
                                </pic:pic>
                              </a:graphicData>
                            </a:graphic>
                          </wp:inline>
                        </w:drawing>
                      </w:r>
                    </w:p>
                  </w:txbxContent>
                </v:textbox>
                <w10:wrap type="square" anchorx="page"/>
              </v:shape>
            </w:pict>
          </mc:Fallback>
        </mc:AlternateContent>
      </w:r>
      <w:r w:rsidRPr="0044785F">
        <w:rPr>
          <w:rFonts w:ascii="Arial" w:eastAsia="Times New Roman" w:hAnsi="Arial"/>
          <w:b/>
          <w:color w:val="00526F"/>
          <w:sz w:val="52"/>
          <w:szCs w:val="52"/>
        </w:rPr>
        <w:br w:type="page"/>
      </w:r>
    </w:p>
    <w:p w14:paraId="6C696E42" w14:textId="77777777" w:rsidR="0044785F" w:rsidRPr="0044785F" w:rsidRDefault="0044785F" w:rsidP="0044785F">
      <w:pPr>
        <w:spacing w:after="0" w:line="240" w:lineRule="auto"/>
        <w:jc w:val="both"/>
        <w:rPr>
          <w:rFonts w:ascii="Arial" w:eastAsia="Times New Roman" w:hAnsi="Arial"/>
          <w:b/>
          <w:color w:val="00526F"/>
          <w:sz w:val="52"/>
          <w:szCs w:val="52"/>
        </w:rPr>
        <w:sectPr w:rsidR="0044785F" w:rsidRPr="0044785F" w:rsidSect="0044785F">
          <w:headerReference w:type="default" r:id="rId11"/>
          <w:footerReference w:type="default" r:id="rId12"/>
          <w:type w:val="continuous"/>
          <w:pgSz w:w="11906" w:h="16838"/>
          <w:pgMar w:top="720" w:right="720" w:bottom="720" w:left="720" w:header="567" w:footer="567" w:gutter="0"/>
          <w:cols w:space="720"/>
          <w:titlePg/>
          <w:docGrid w:linePitch="360"/>
        </w:sectPr>
      </w:pPr>
    </w:p>
    <w:p w14:paraId="23B7DB3B" w14:textId="77777777" w:rsidR="0044785F" w:rsidRPr="0044785F" w:rsidRDefault="0044785F" w:rsidP="0044785F">
      <w:pPr>
        <w:spacing w:after="0" w:line="240" w:lineRule="auto"/>
        <w:jc w:val="both"/>
        <w:rPr>
          <w:rFonts w:ascii="Arial" w:eastAsia="Times New Roman" w:hAnsi="Arial"/>
          <w:b/>
          <w:color w:val="00526F"/>
          <w:sz w:val="52"/>
          <w:szCs w:val="52"/>
        </w:rPr>
      </w:pPr>
    </w:p>
    <w:p w14:paraId="5F6226A5" w14:textId="77777777" w:rsidR="0044785F" w:rsidRPr="0044785F" w:rsidRDefault="0044785F" w:rsidP="0044785F">
      <w:pPr>
        <w:spacing w:line="360" w:lineRule="auto"/>
        <w:rPr>
          <w:rFonts w:ascii="Arial" w:eastAsia="Times New Roman" w:hAnsi="Arial"/>
          <w:sz w:val="24"/>
          <w:szCs w:val="20"/>
        </w:rPr>
      </w:pPr>
    </w:p>
    <w:p w14:paraId="53717B55" w14:textId="77777777" w:rsidR="0044785F" w:rsidRPr="0044785F" w:rsidRDefault="0044785F" w:rsidP="0044785F">
      <w:pPr>
        <w:spacing w:line="360" w:lineRule="auto"/>
        <w:rPr>
          <w:rFonts w:ascii="Arial" w:eastAsia="Times New Roman" w:hAnsi="Arial"/>
          <w:sz w:val="24"/>
          <w:szCs w:val="20"/>
        </w:rPr>
      </w:pPr>
    </w:p>
    <w:p w14:paraId="43953B3A" w14:textId="77777777" w:rsidR="0044785F" w:rsidRPr="0044785F" w:rsidRDefault="0044785F" w:rsidP="0044785F">
      <w:pPr>
        <w:spacing w:line="360" w:lineRule="auto"/>
        <w:rPr>
          <w:rFonts w:ascii="Arial" w:eastAsia="Times New Roman" w:hAnsi="Arial"/>
          <w:sz w:val="24"/>
          <w:szCs w:val="24"/>
        </w:rPr>
      </w:pPr>
    </w:p>
    <w:p w14:paraId="4F0E079F" w14:textId="77777777" w:rsidR="0044785F" w:rsidRPr="0044785F" w:rsidRDefault="0044785F" w:rsidP="0044785F">
      <w:pPr>
        <w:spacing w:line="360" w:lineRule="auto"/>
        <w:rPr>
          <w:rFonts w:ascii="Arial" w:eastAsia="Times New Roman" w:hAnsi="Arial"/>
          <w:sz w:val="24"/>
          <w:szCs w:val="24"/>
        </w:rPr>
      </w:pPr>
    </w:p>
    <w:p w14:paraId="684739A6" w14:textId="77777777" w:rsidR="0044785F" w:rsidRPr="0044785F" w:rsidRDefault="0044785F" w:rsidP="0044785F">
      <w:pPr>
        <w:spacing w:line="360" w:lineRule="auto"/>
        <w:rPr>
          <w:rFonts w:ascii="Arial" w:eastAsia="Times New Roman" w:hAnsi="Arial"/>
          <w:sz w:val="24"/>
          <w:szCs w:val="24"/>
        </w:rPr>
      </w:pPr>
    </w:p>
    <w:p w14:paraId="0F7B7BCF" w14:textId="77777777" w:rsidR="0044785F" w:rsidRPr="0044785F" w:rsidRDefault="0044785F" w:rsidP="0044785F">
      <w:pPr>
        <w:spacing w:line="360" w:lineRule="auto"/>
        <w:rPr>
          <w:rFonts w:ascii="Arial" w:eastAsia="Times New Roman" w:hAnsi="Arial"/>
          <w:sz w:val="24"/>
          <w:szCs w:val="24"/>
        </w:rPr>
      </w:pPr>
    </w:p>
    <w:p w14:paraId="0F497A43" w14:textId="77777777" w:rsidR="0044785F" w:rsidRPr="0044785F" w:rsidRDefault="0044785F" w:rsidP="0044785F">
      <w:pPr>
        <w:spacing w:line="360" w:lineRule="auto"/>
        <w:rPr>
          <w:rFonts w:ascii="Arial" w:eastAsia="Times New Roman" w:hAnsi="Arial"/>
          <w:sz w:val="24"/>
          <w:szCs w:val="24"/>
        </w:rPr>
      </w:pPr>
    </w:p>
    <w:p w14:paraId="10E40973" w14:textId="77777777" w:rsidR="0044785F" w:rsidRPr="0044785F" w:rsidRDefault="0044785F" w:rsidP="0044785F">
      <w:pPr>
        <w:spacing w:line="360" w:lineRule="auto"/>
        <w:rPr>
          <w:rFonts w:ascii="Arial" w:eastAsia="Times New Roman" w:hAnsi="Arial"/>
          <w:sz w:val="24"/>
          <w:szCs w:val="24"/>
        </w:rPr>
      </w:pPr>
    </w:p>
    <w:p w14:paraId="174B4198" w14:textId="77777777" w:rsidR="0044785F" w:rsidRPr="0044785F" w:rsidRDefault="0044785F" w:rsidP="0044785F">
      <w:pPr>
        <w:spacing w:line="360" w:lineRule="auto"/>
        <w:rPr>
          <w:rFonts w:ascii="Arial" w:eastAsia="Times New Roman" w:hAnsi="Arial"/>
          <w:sz w:val="24"/>
          <w:szCs w:val="24"/>
        </w:rPr>
      </w:pPr>
    </w:p>
    <w:p w14:paraId="3D201C44" w14:textId="77777777" w:rsidR="0044785F" w:rsidRPr="0044785F" w:rsidRDefault="0044785F" w:rsidP="0044785F">
      <w:pPr>
        <w:spacing w:line="360" w:lineRule="auto"/>
        <w:rPr>
          <w:rFonts w:ascii="Arial" w:eastAsia="Times New Roman" w:hAnsi="Arial"/>
          <w:sz w:val="24"/>
          <w:szCs w:val="24"/>
        </w:rPr>
      </w:pPr>
    </w:p>
    <w:p w14:paraId="13E93173" w14:textId="77777777" w:rsidR="0044785F" w:rsidRPr="0044785F" w:rsidRDefault="0044785F" w:rsidP="0044785F">
      <w:pPr>
        <w:spacing w:line="360" w:lineRule="auto"/>
        <w:rPr>
          <w:rFonts w:ascii="Arial" w:eastAsia="Times New Roman" w:hAnsi="Arial"/>
          <w:sz w:val="24"/>
          <w:szCs w:val="24"/>
        </w:rPr>
      </w:pPr>
    </w:p>
    <w:p w14:paraId="741ACCF6" w14:textId="77777777" w:rsidR="0044785F" w:rsidRPr="0044785F" w:rsidRDefault="0044785F" w:rsidP="0044785F">
      <w:pPr>
        <w:spacing w:line="360" w:lineRule="auto"/>
        <w:rPr>
          <w:rFonts w:ascii="Arial" w:eastAsia="Times New Roman" w:hAnsi="Arial"/>
          <w:sz w:val="24"/>
          <w:szCs w:val="24"/>
        </w:rPr>
      </w:pPr>
    </w:p>
    <w:p w14:paraId="4335DE72" w14:textId="77777777" w:rsidR="0044785F" w:rsidRPr="0044785F" w:rsidRDefault="0044785F" w:rsidP="0044785F">
      <w:pPr>
        <w:spacing w:line="360" w:lineRule="auto"/>
        <w:rPr>
          <w:rFonts w:ascii="Arial" w:eastAsia="Times New Roman" w:hAnsi="Arial"/>
          <w:sz w:val="24"/>
          <w:szCs w:val="24"/>
        </w:rPr>
      </w:pPr>
    </w:p>
    <w:p w14:paraId="04A3969B" w14:textId="77777777" w:rsidR="0044785F" w:rsidRPr="0044785F" w:rsidRDefault="0044785F" w:rsidP="0044785F">
      <w:pPr>
        <w:spacing w:line="360" w:lineRule="auto"/>
        <w:rPr>
          <w:rFonts w:ascii="Arial" w:eastAsia="Times New Roman" w:hAnsi="Arial"/>
          <w:sz w:val="24"/>
          <w:szCs w:val="24"/>
        </w:rPr>
      </w:pPr>
      <w:r w:rsidRPr="0044785F">
        <w:rPr>
          <w:rFonts w:ascii="Arial" w:eastAsia="Times New Roman" w:hAnsi="Arial"/>
          <w:sz w:val="24"/>
          <w:szCs w:val="24"/>
        </w:rPr>
        <w:t xml:space="preserve">For information on accessing this document in an alternative format or language please contact SEPA by email at </w:t>
      </w:r>
      <w:hyperlink r:id="rId13" w:history="1">
        <w:r w:rsidRPr="0044785F">
          <w:rPr>
            <w:rFonts w:ascii="Arial" w:eastAsia="Times New Roman" w:hAnsi="Arial"/>
            <w:color w:val="0000FF"/>
            <w:sz w:val="24"/>
            <w:szCs w:val="24"/>
            <w:u w:val="single"/>
          </w:rPr>
          <w:t>equalities@sepa.org.uk</w:t>
        </w:r>
      </w:hyperlink>
    </w:p>
    <w:p w14:paraId="12D56DF6" w14:textId="77777777" w:rsidR="0044785F" w:rsidRPr="0044785F" w:rsidRDefault="0044785F" w:rsidP="0044785F">
      <w:pPr>
        <w:spacing w:line="360" w:lineRule="auto"/>
        <w:rPr>
          <w:rFonts w:ascii="Arial" w:eastAsia="Times New Roman" w:hAnsi="Arial"/>
          <w:sz w:val="24"/>
          <w:szCs w:val="24"/>
        </w:rPr>
      </w:pPr>
      <w:r w:rsidRPr="0044785F">
        <w:rPr>
          <w:rFonts w:ascii="Arial" w:eastAsia="Times New Roman" w:hAnsi="Arial"/>
          <w:sz w:val="24"/>
          <w:szCs w:val="24"/>
        </w:rPr>
        <w:t>If you are a user of British Sign Language (BSL) the Contact Scotland BSL service gives you access to an online interpreter enabling you to communicate with us using sign language.</w:t>
      </w:r>
    </w:p>
    <w:p w14:paraId="20E82BF1" w14:textId="77777777" w:rsidR="0044785F" w:rsidRPr="0044785F" w:rsidRDefault="00AA6E54" w:rsidP="0044785F">
      <w:pPr>
        <w:spacing w:line="360" w:lineRule="auto"/>
        <w:rPr>
          <w:rFonts w:ascii="Arial" w:eastAsia="Times New Roman" w:hAnsi="Arial"/>
          <w:color w:val="0000FF"/>
          <w:sz w:val="24"/>
          <w:szCs w:val="24"/>
          <w:u w:val="single"/>
        </w:rPr>
      </w:pPr>
      <w:hyperlink r:id="rId14" w:history="1">
        <w:r w:rsidR="0044785F" w:rsidRPr="0044785F">
          <w:rPr>
            <w:rFonts w:ascii="Arial" w:eastAsia="Times New Roman" w:hAnsi="Arial"/>
            <w:color w:val="0000FF"/>
            <w:sz w:val="24"/>
            <w:szCs w:val="24"/>
            <w:u w:val="single"/>
          </w:rPr>
          <w:t>http://contactscotland-bsl.org/</w:t>
        </w:r>
      </w:hyperlink>
    </w:p>
    <w:p w14:paraId="05EA9186" w14:textId="77777777" w:rsidR="0044785F" w:rsidRPr="0044785F" w:rsidRDefault="0044785F" w:rsidP="0044785F">
      <w:pPr>
        <w:spacing w:line="360" w:lineRule="auto"/>
        <w:rPr>
          <w:rFonts w:ascii="Arial" w:eastAsia="Times New Roman" w:hAnsi="Arial"/>
          <w:sz w:val="24"/>
          <w:szCs w:val="20"/>
        </w:rPr>
      </w:pPr>
    </w:p>
    <w:p w14:paraId="12DD7469" w14:textId="77777777" w:rsidR="0044785F" w:rsidRPr="0044785F" w:rsidRDefault="0044785F" w:rsidP="0044785F">
      <w:pPr>
        <w:spacing w:line="360" w:lineRule="auto"/>
        <w:rPr>
          <w:rFonts w:ascii="Arial" w:eastAsia="Times New Roman" w:hAnsi="Arial"/>
          <w:sz w:val="24"/>
          <w:szCs w:val="20"/>
        </w:rPr>
      </w:pPr>
    </w:p>
    <w:p w14:paraId="54C7927F" w14:textId="77777777" w:rsidR="0044785F" w:rsidRPr="0044785F" w:rsidRDefault="00AA6E54" w:rsidP="0044785F">
      <w:pPr>
        <w:spacing w:line="360" w:lineRule="auto"/>
        <w:rPr>
          <w:rFonts w:ascii="Arial" w:eastAsia="Times New Roman" w:hAnsi="Arial"/>
          <w:sz w:val="24"/>
          <w:szCs w:val="24"/>
        </w:rPr>
      </w:pPr>
      <w:hyperlink r:id="rId15" w:history="1">
        <w:r w:rsidR="0044785F" w:rsidRPr="0044785F">
          <w:rPr>
            <w:rFonts w:ascii="Arial" w:eastAsia="Times New Roman" w:hAnsi="Arial"/>
            <w:color w:val="0000FF"/>
            <w:sz w:val="24"/>
            <w:szCs w:val="24"/>
            <w:u w:val="single"/>
          </w:rPr>
          <w:t>www.sepa.org.uk</w:t>
        </w:r>
      </w:hyperlink>
    </w:p>
    <w:p w14:paraId="074BEE61" w14:textId="77777777" w:rsidR="0044785F" w:rsidRPr="0044785F" w:rsidRDefault="0044785F" w:rsidP="0044785F">
      <w:pPr>
        <w:spacing w:line="360" w:lineRule="auto"/>
        <w:rPr>
          <w:rFonts w:ascii="Arial" w:eastAsia="Times New Roman" w:hAnsi="Arial"/>
          <w:sz w:val="24"/>
          <w:szCs w:val="24"/>
        </w:rPr>
      </w:pPr>
      <w:r w:rsidRPr="0044785F">
        <w:rPr>
          <w:rFonts w:ascii="Arial" w:eastAsia="Times New Roman" w:hAnsi="Arial"/>
          <w:sz w:val="24"/>
          <w:szCs w:val="24"/>
        </w:rPr>
        <w:t>Strathallan House, Castle Business Park, Stirling, FK9 4TZ</w:t>
      </w:r>
    </w:p>
    <w:p w14:paraId="45751879" w14:textId="77777777" w:rsidR="0044785F" w:rsidRPr="0044785F" w:rsidRDefault="0044785F" w:rsidP="0044785F">
      <w:pPr>
        <w:spacing w:line="360" w:lineRule="auto"/>
        <w:rPr>
          <w:rFonts w:ascii="Arial" w:eastAsia="Times New Roman" w:hAnsi="Arial"/>
          <w:sz w:val="24"/>
          <w:szCs w:val="20"/>
        </w:rPr>
      </w:pPr>
    </w:p>
    <w:p w14:paraId="3838B658" w14:textId="77777777" w:rsidR="0044785F" w:rsidRPr="0044785F" w:rsidRDefault="0044785F" w:rsidP="0044785F">
      <w:pPr>
        <w:spacing w:after="0" w:line="240" w:lineRule="auto"/>
        <w:rPr>
          <w:rFonts w:ascii="Arial" w:eastAsia="Times New Roman" w:hAnsi="Arial"/>
          <w:sz w:val="24"/>
          <w:szCs w:val="20"/>
        </w:rPr>
      </w:pPr>
      <w:r w:rsidRPr="0044785F">
        <w:rPr>
          <w:rFonts w:ascii="Arial" w:eastAsia="Times New Roman" w:hAnsi="Arial"/>
          <w:sz w:val="24"/>
          <w:szCs w:val="20"/>
        </w:rPr>
        <w:br w:type="page"/>
      </w:r>
    </w:p>
    <w:p w14:paraId="72B82662" w14:textId="77777777" w:rsidR="0044785F" w:rsidRPr="0044785F" w:rsidRDefault="0044785F" w:rsidP="0044785F">
      <w:pPr>
        <w:spacing w:after="0" w:line="240" w:lineRule="auto"/>
        <w:rPr>
          <w:rFonts w:ascii="Arial" w:eastAsia="Times New Roman" w:hAnsi="Arial"/>
          <w:sz w:val="24"/>
          <w:szCs w:val="20"/>
        </w:rPr>
        <w:sectPr w:rsidR="0044785F" w:rsidRPr="0044785F" w:rsidSect="0044785F">
          <w:pgSz w:w="11906" w:h="16838"/>
          <w:pgMar w:top="720" w:right="720" w:bottom="720" w:left="720" w:header="567" w:footer="567" w:gutter="0"/>
          <w:cols w:space="720"/>
          <w:titlePg/>
          <w:docGrid w:linePitch="360"/>
        </w:sectPr>
      </w:pPr>
    </w:p>
    <w:p w14:paraId="1DA56455" w14:textId="77777777" w:rsidR="0044785F" w:rsidRPr="0044785F" w:rsidRDefault="0044785F" w:rsidP="0044785F">
      <w:pPr>
        <w:spacing w:after="0" w:line="240" w:lineRule="auto"/>
        <w:rPr>
          <w:rFonts w:ascii="Arial" w:eastAsia="Times New Roman" w:hAnsi="Arial"/>
          <w:sz w:val="24"/>
          <w:szCs w:val="20"/>
        </w:rPr>
      </w:pPr>
    </w:p>
    <w:bookmarkEnd w:id="0"/>
    <w:p w14:paraId="3B473450" w14:textId="77777777" w:rsidR="00C74952" w:rsidRPr="0044785F" w:rsidRDefault="00C74952" w:rsidP="00C33FB2">
      <w:pPr>
        <w:pStyle w:val="ListParagraph"/>
        <w:numPr>
          <w:ilvl w:val="0"/>
          <w:numId w:val="24"/>
        </w:numPr>
        <w:spacing w:after="0" w:line="240" w:lineRule="auto"/>
        <w:ind w:left="426" w:hanging="142"/>
        <w:rPr>
          <w:rFonts w:ascii="Arial" w:hAnsi="Arial" w:cs="Arial"/>
          <w:b/>
          <w:color w:val="215868" w:themeColor="accent5" w:themeShade="80"/>
          <w:sz w:val="32"/>
          <w:szCs w:val="32"/>
        </w:rPr>
      </w:pPr>
      <w:r w:rsidRPr="0044785F">
        <w:rPr>
          <w:rFonts w:ascii="Arial" w:hAnsi="Arial" w:cs="Arial"/>
          <w:b/>
          <w:color w:val="215868" w:themeColor="accent5" w:themeShade="80"/>
          <w:sz w:val="32"/>
          <w:szCs w:val="32"/>
        </w:rPr>
        <w:t>Introduction</w:t>
      </w:r>
    </w:p>
    <w:p w14:paraId="35AEB429" w14:textId="77777777" w:rsidR="00C74952" w:rsidRPr="00070B35" w:rsidRDefault="00C74952" w:rsidP="00C74952">
      <w:pPr>
        <w:spacing w:after="0" w:line="240" w:lineRule="auto"/>
        <w:jc w:val="center"/>
        <w:rPr>
          <w:rFonts w:ascii="Arial" w:hAnsi="Arial" w:cs="Arial"/>
          <w:color w:val="000000" w:themeColor="text1"/>
        </w:rPr>
      </w:pPr>
    </w:p>
    <w:p w14:paraId="0A424D3C" w14:textId="77777777" w:rsidR="00C74952" w:rsidRPr="00C062A1" w:rsidRDefault="00C74952" w:rsidP="007500FC">
      <w:pPr>
        <w:spacing w:after="0" w:line="240" w:lineRule="auto"/>
        <w:rPr>
          <w:rFonts w:ascii="Arial" w:hAnsi="Arial" w:cs="Arial"/>
          <w:color w:val="000000" w:themeColor="text1"/>
          <w:sz w:val="24"/>
          <w:szCs w:val="24"/>
        </w:rPr>
      </w:pPr>
      <w:r w:rsidRPr="00C062A1">
        <w:rPr>
          <w:rFonts w:ascii="Arial" w:hAnsi="Arial" w:cs="Arial"/>
          <w:color w:val="000000" w:themeColor="text1"/>
          <w:sz w:val="24"/>
          <w:szCs w:val="24"/>
        </w:rPr>
        <w:t>This Annual Report provides an account of SEPA’s procurement activity for 2019/20.</w:t>
      </w:r>
    </w:p>
    <w:p w14:paraId="2C999D16" w14:textId="77777777" w:rsidR="00C74952" w:rsidRPr="00070B35" w:rsidRDefault="00C74952" w:rsidP="00C74952">
      <w:pPr>
        <w:spacing w:after="0" w:line="240" w:lineRule="auto"/>
        <w:rPr>
          <w:rFonts w:ascii="Arial" w:hAnsi="Arial" w:cs="Arial"/>
          <w:color w:val="FF0000"/>
        </w:rPr>
      </w:pPr>
    </w:p>
    <w:p w14:paraId="1C2C27DE" w14:textId="77777777" w:rsidR="00C74952" w:rsidRPr="0044785F" w:rsidRDefault="00C74952" w:rsidP="00C33FB2">
      <w:pPr>
        <w:pStyle w:val="ListParagraph"/>
        <w:numPr>
          <w:ilvl w:val="0"/>
          <w:numId w:val="24"/>
        </w:numPr>
        <w:spacing w:after="0" w:line="240" w:lineRule="auto"/>
        <w:ind w:left="426" w:hanging="142"/>
        <w:rPr>
          <w:rFonts w:ascii="Arial" w:hAnsi="Arial" w:cs="Arial"/>
          <w:b/>
          <w:color w:val="215868" w:themeColor="accent5" w:themeShade="80"/>
          <w:sz w:val="32"/>
          <w:szCs w:val="32"/>
        </w:rPr>
      </w:pPr>
      <w:r w:rsidRPr="0044785F">
        <w:rPr>
          <w:rFonts w:ascii="Arial" w:hAnsi="Arial" w:cs="Arial"/>
          <w:b/>
          <w:color w:val="215868" w:themeColor="accent5" w:themeShade="80"/>
          <w:sz w:val="32"/>
          <w:szCs w:val="32"/>
        </w:rPr>
        <w:t>Background an</w:t>
      </w:r>
      <w:bookmarkStart w:id="1" w:name="_GoBack"/>
      <w:bookmarkEnd w:id="1"/>
      <w:r w:rsidRPr="0044785F">
        <w:rPr>
          <w:rFonts w:ascii="Arial" w:hAnsi="Arial" w:cs="Arial"/>
          <w:b/>
          <w:color w:val="215868" w:themeColor="accent5" w:themeShade="80"/>
          <w:sz w:val="32"/>
          <w:szCs w:val="32"/>
        </w:rPr>
        <w:t>d key statistics</w:t>
      </w:r>
    </w:p>
    <w:p w14:paraId="65021F13" w14:textId="77777777" w:rsidR="00C74952" w:rsidRPr="00070B35" w:rsidRDefault="00C74952" w:rsidP="00C74952">
      <w:pPr>
        <w:spacing w:after="0" w:line="240" w:lineRule="auto"/>
        <w:rPr>
          <w:rFonts w:ascii="Arial" w:hAnsi="Arial" w:cs="Arial"/>
          <w:color w:val="FF0000"/>
          <w:highlight w:val="yellow"/>
        </w:rPr>
      </w:pPr>
    </w:p>
    <w:p w14:paraId="1D6F1B48" w14:textId="5A71CA69" w:rsidR="00C74952" w:rsidRPr="00C062A1" w:rsidRDefault="00C74952" w:rsidP="007500FC">
      <w:pPr>
        <w:spacing w:after="0" w:line="240" w:lineRule="auto"/>
        <w:jc w:val="both"/>
        <w:rPr>
          <w:rFonts w:ascii="Arial" w:hAnsi="Arial" w:cs="Arial"/>
          <w:color w:val="000000" w:themeColor="text1"/>
          <w:sz w:val="24"/>
          <w:szCs w:val="24"/>
        </w:rPr>
      </w:pPr>
      <w:r w:rsidRPr="00C062A1">
        <w:rPr>
          <w:rFonts w:ascii="Arial" w:hAnsi="Arial" w:cs="Arial"/>
          <w:color w:val="000000" w:themeColor="text1"/>
          <w:sz w:val="24"/>
          <w:szCs w:val="24"/>
        </w:rPr>
        <w:t>The Scottish Procurement and Commercial Directorate of the Scottish Government commission an external body, Spikes Cavell, to conduct an annual national spend analysis programme</w:t>
      </w:r>
      <w:r w:rsidR="00FA430C" w:rsidRPr="00C062A1">
        <w:rPr>
          <w:rFonts w:ascii="Arial" w:hAnsi="Arial" w:cs="Arial"/>
          <w:color w:val="000000" w:themeColor="text1"/>
          <w:sz w:val="24"/>
          <w:szCs w:val="24"/>
        </w:rPr>
        <w:t>. T</w:t>
      </w:r>
      <w:r w:rsidRPr="00C062A1">
        <w:rPr>
          <w:rFonts w:ascii="Arial" w:hAnsi="Arial" w:cs="Arial"/>
          <w:color w:val="000000" w:themeColor="text1"/>
          <w:sz w:val="24"/>
          <w:szCs w:val="24"/>
        </w:rPr>
        <w:t>his is carried out by organisations submitting specific transactional data for the relevant financial year to Spikes Cavell</w:t>
      </w:r>
      <w:r w:rsidR="00FA430C" w:rsidRPr="00C062A1">
        <w:rPr>
          <w:rFonts w:ascii="Arial" w:hAnsi="Arial" w:cs="Arial"/>
          <w:color w:val="000000" w:themeColor="text1"/>
          <w:sz w:val="24"/>
          <w:szCs w:val="24"/>
        </w:rPr>
        <w:t>. D</w:t>
      </w:r>
      <w:r w:rsidRPr="00C062A1">
        <w:rPr>
          <w:rFonts w:ascii="Arial" w:hAnsi="Arial" w:cs="Arial"/>
          <w:color w:val="000000" w:themeColor="text1"/>
          <w:sz w:val="24"/>
          <w:szCs w:val="24"/>
        </w:rPr>
        <w:t xml:space="preserve">ata </w:t>
      </w:r>
      <w:r w:rsidR="00FA430C" w:rsidRPr="00C062A1">
        <w:rPr>
          <w:rFonts w:ascii="Arial" w:hAnsi="Arial" w:cs="Arial"/>
          <w:color w:val="000000" w:themeColor="text1"/>
          <w:sz w:val="24"/>
          <w:szCs w:val="24"/>
        </w:rPr>
        <w:t xml:space="preserve">is </w:t>
      </w:r>
      <w:r w:rsidRPr="00C062A1">
        <w:rPr>
          <w:rFonts w:ascii="Arial" w:hAnsi="Arial" w:cs="Arial"/>
          <w:color w:val="000000" w:themeColor="text1"/>
          <w:sz w:val="24"/>
          <w:szCs w:val="24"/>
        </w:rPr>
        <w:t>verifi</w:t>
      </w:r>
      <w:r w:rsidR="00FA430C" w:rsidRPr="00C062A1">
        <w:rPr>
          <w:rFonts w:ascii="Arial" w:hAnsi="Arial" w:cs="Arial"/>
          <w:color w:val="000000" w:themeColor="text1"/>
          <w:sz w:val="24"/>
          <w:szCs w:val="24"/>
        </w:rPr>
        <w:t>ed</w:t>
      </w:r>
      <w:r w:rsidRPr="00C062A1">
        <w:rPr>
          <w:rFonts w:ascii="Arial" w:hAnsi="Arial" w:cs="Arial"/>
          <w:color w:val="000000" w:themeColor="text1"/>
          <w:sz w:val="24"/>
          <w:szCs w:val="24"/>
        </w:rPr>
        <w:t xml:space="preserve"> and final publication </w:t>
      </w:r>
      <w:r w:rsidR="00436FB5" w:rsidRPr="00C062A1">
        <w:rPr>
          <w:rFonts w:ascii="Arial" w:hAnsi="Arial" w:cs="Arial"/>
          <w:color w:val="000000" w:themeColor="text1"/>
          <w:sz w:val="24"/>
          <w:szCs w:val="24"/>
        </w:rPr>
        <w:t xml:space="preserve">is made </w:t>
      </w:r>
      <w:r w:rsidRPr="00C062A1">
        <w:rPr>
          <w:rFonts w:ascii="Arial" w:hAnsi="Arial" w:cs="Arial"/>
          <w:color w:val="000000" w:themeColor="text1"/>
          <w:sz w:val="24"/>
          <w:szCs w:val="24"/>
        </w:rPr>
        <w:t>on the Scottish Procurement Information Hub (The Hub).</w:t>
      </w:r>
    </w:p>
    <w:p w14:paraId="4A766AE7" w14:textId="77777777" w:rsidR="00C74952" w:rsidRPr="00C062A1" w:rsidRDefault="00C74952" w:rsidP="00C33FB2">
      <w:pPr>
        <w:spacing w:after="0" w:line="240" w:lineRule="auto"/>
        <w:ind w:left="284"/>
        <w:jc w:val="both"/>
        <w:rPr>
          <w:rFonts w:ascii="Arial" w:hAnsi="Arial" w:cs="Arial"/>
          <w:color w:val="FF0000"/>
          <w:sz w:val="24"/>
          <w:szCs w:val="24"/>
          <w:highlight w:val="yellow"/>
        </w:rPr>
      </w:pPr>
    </w:p>
    <w:p w14:paraId="3BF00047" w14:textId="57E32179" w:rsidR="00C74952" w:rsidRPr="00C062A1" w:rsidRDefault="00C74952" w:rsidP="007500FC">
      <w:pPr>
        <w:spacing w:after="0" w:line="240" w:lineRule="auto"/>
        <w:jc w:val="both"/>
        <w:rPr>
          <w:rFonts w:ascii="Arial" w:hAnsi="Arial" w:cs="Arial"/>
          <w:color w:val="000000" w:themeColor="text1"/>
          <w:sz w:val="24"/>
          <w:szCs w:val="24"/>
        </w:rPr>
      </w:pPr>
      <w:r w:rsidRPr="00C062A1">
        <w:rPr>
          <w:rFonts w:ascii="Arial" w:hAnsi="Arial" w:cs="Arial"/>
          <w:color w:val="000000" w:themeColor="text1"/>
          <w:sz w:val="24"/>
          <w:szCs w:val="24"/>
        </w:rPr>
        <w:t xml:space="preserve">The financial analysis has been carried out on data extracted from SEPA’s finance and procurement system, Agresso. Table 1 summarises SEPA’s key procurement statistics for the financial year 2019/20 and compares with the previous 2 years. </w:t>
      </w:r>
    </w:p>
    <w:p w14:paraId="01476DE7" w14:textId="77777777" w:rsidR="00C74952" w:rsidRPr="00C062A1" w:rsidRDefault="00C74952" w:rsidP="00C33FB2">
      <w:pPr>
        <w:spacing w:after="0" w:line="240" w:lineRule="auto"/>
        <w:ind w:left="284"/>
        <w:rPr>
          <w:rFonts w:ascii="Arial" w:hAnsi="Arial" w:cs="Arial"/>
          <w:color w:val="FF0000"/>
          <w:sz w:val="24"/>
          <w:szCs w:val="24"/>
        </w:rPr>
      </w:pPr>
    </w:p>
    <w:p w14:paraId="2C4FDCAF" w14:textId="77777777" w:rsidR="00C74952" w:rsidRPr="00C062A1" w:rsidRDefault="00C74952" w:rsidP="007500FC">
      <w:pPr>
        <w:spacing w:after="0" w:line="240" w:lineRule="auto"/>
        <w:rPr>
          <w:rFonts w:ascii="Arial" w:hAnsi="Arial" w:cs="Arial"/>
          <w:color w:val="000000" w:themeColor="text1"/>
          <w:sz w:val="24"/>
          <w:szCs w:val="24"/>
          <w:u w:val="single"/>
        </w:rPr>
      </w:pPr>
      <w:r w:rsidRPr="00C062A1">
        <w:rPr>
          <w:rFonts w:ascii="Arial" w:hAnsi="Arial" w:cs="Arial"/>
          <w:color w:val="000000" w:themeColor="text1"/>
          <w:sz w:val="24"/>
          <w:szCs w:val="24"/>
          <w:u w:val="single"/>
        </w:rPr>
        <w:t>All figures in the Annual Report are exclusive of VAT at the current rate.</w:t>
      </w:r>
    </w:p>
    <w:p w14:paraId="0ED1EE09" w14:textId="77777777" w:rsidR="00C74952" w:rsidRPr="00070B35" w:rsidRDefault="00C74952" w:rsidP="00C74952">
      <w:pPr>
        <w:tabs>
          <w:tab w:val="left" w:pos="993"/>
        </w:tabs>
        <w:spacing w:after="0" w:line="240" w:lineRule="auto"/>
        <w:rPr>
          <w:rFonts w:ascii="Arial" w:hAnsi="Arial" w:cs="Arial"/>
          <w:b/>
          <w:color w:val="FF0000"/>
          <w:highlight w:val="yellow"/>
        </w:rPr>
      </w:pPr>
    </w:p>
    <w:p w14:paraId="26A580B0" w14:textId="77777777" w:rsidR="00C74952" w:rsidRPr="00C062A1" w:rsidRDefault="00C74952" w:rsidP="007500FC">
      <w:pPr>
        <w:tabs>
          <w:tab w:val="left" w:pos="993"/>
        </w:tabs>
        <w:spacing w:after="0" w:line="240" w:lineRule="auto"/>
        <w:rPr>
          <w:rFonts w:ascii="Arial" w:hAnsi="Arial" w:cs="Arial"/>
          <w:b/>
          <w:color w:val="000000" w:themeColor="text1"/>
          <w:sz w:val="24"/>
          <w:szCs w:val="24"/>
        </w:rPr>
      </w:pPr>
      <w:r w:rsidRPr="00C062A1">
        <w:rPr>
          <w:rFonts w:ascii="Arial" w:hAnsi="Arial" w:cs="Arial"/>
          <w:b/>
          <w:color w:val="000000" w:themeColor="text1"/>
          <w:sz w:val="24"/>
          <w:szCs w:val="24"/>
        </w:rPr>
        <w:t>Table 1</w:t>
      </w:r>
    </w:p>
    <w:p w14:paraId="36469E9E" w14:textId="77777777" w:rsidR="00C74952" w:rsidRPr="00070B35" w:rsidRDefault="00C74952" w:rsidP="00C74952">
      <w:pPr>
        <w:tabs>
          <w:tab w:val="left" w:pos="993"/>
        </w:tabs>
        <w:spacing w:after="0" w:line="240" w:lineRule="auto"/>
        <w:rPr>
          <w:rFonts w:ascii="Arial" w:hAnsi="Arial" w:cs="Arial"/>
          <w:b/>
          <w:color w:val="FF0000"/>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gridCol w:w="1701"/>
        <w:gridCol w:w="1843"/>
        <w:gridCol w:w="1843"/>
      </w:tblGrid>
      <w:tr w:rsidR="00C74952" w:rsidRPr="00C062A1" w14:paraId="18BBAFAD" w14:textId="77777777" w:rsidTr="007500FC">
        <w:trPr>
          <w:trHeight w:val="852"/>
        </w:trPr>
        <w:tc>
          <w:tcPr>
            <w:tcW w:w="5103" w:type="dxa"/>
            <w:shd w:val="clear" w:color="auto" w:fill="D9D9D9" w:themeFill="background1" w:themeFillShade="D9"/>
            <w:vAlign w:val="center"/>
          </w:tcPr>
          <w:p w14:paraId="4E3FD7D8" w14:textId="77777777" w:rsidR="00C74952" w:rsidRPr="00C062A1" w:rsidRDefault="00C74952" w:rsidP="002F24A3">
            <w:pPr>
              <w:tabs>
                <w:tab w:val="left" w:pos="993"/>
              </w:tabs>
              <w:spacing w:after="0" w:line="240" w:lineRule="auto"/>
              <w:rPr>
                <w:rFonts w:ascii="Arial" w:hAnsi="Arial" w:cs="Arial"/>
                <w:b/>
                <w:color w:val="000000" w:themeColor="text1"/>
                <w:sz w:val="24"/>
                <w:szCs w:val="24"/>
              </w:rPr>
            </w:pPr>
            <w:r w:rsidRPr="00C062A1">
              <w:rPr>
                <w:rFonts w:ascii="Arial" w:hAnsi="Arial" w:cs="Arial"/>
                <w:b/>
                <w:color w:val="000000" w:themeColor="text1"/>
                <w:sz w:val="24"/>
                <w:szCs w:val="24"/>
              </w:rPr>
              <w:t>Spikes Cavell Procurement Dashboard</w:t>
            </w:r>
          </w:p>
        </w:tc>
        <w:tc>
          <w:tcPr>
            <w:tcW w:w="1701" w:type="dxa"/>
            <w:shd w:val="clear" w:color="auto" w:fill="D9D9D9" w:themeFill="background1" w:themeFillShade="D9"/>
          </w:tcPr>
          <w:p w14:paraId="024863B9" w14:textId="77777777" w:rsidR="00C74952" w:rsidRPr="00C062A1" w:rsidRDefault="00C74952" w:rsidP="002F24A3">
            <w:pPr>
              <w:tabs>
                <w:tab w:val="left" w:pos="993"/>
              </w:tabs>
              <w:spacing w:after="0" w:line="240" w:lineRule="auto"/>
              <w:jc w:val="center"/>
              <w:rPr>
                <w:rFonts w:ascii="Arial" w:hAnsi="Arial" w:cs="Arial"/>
                <w:b/>
                <w:color w:val="000000" w:themeColor="text1"/>
                <w:sz w:val="24"/>
                <w:szCs w:val="24"/>
              </w:rPr>
            </w:pPr>
            <w:r w:rsidRPr="00C062A1">
              <w:rPr>
                <w:rFonts w:ascii="Arial" w:hAnsi="Arial" w:cs="Arial"/>
                <w:b/>
                <w:color w:val="000000" w:themeColor="text1"/>
                <w:sz w:val="24"/>
                <w:szCs w:val="24"/>
              </w:rPr>
              <w:t>Revenue &amp;</w:t>
            </w:r>
          </w:p>
          <w:p w14:paraId="2E26530D" w14:textId="77777777" w:rsidR="00C74952" w:rsidRPr="00C062A1" w:rsidRDefault="00C74952" w:rsidP="002F24A3">
            <w:pPr>
              <w:tabs>
                <w:tab w:val="left" w:pos="993"/>
              </w:tabs>
              <w:spacing w:after="0" w:line="240" w:lineRule="auto"/>
              <w:jc w:val="center"/>
              <w:rPr>
                <w:rFonts w:ascii="Arial" w:hAnsi="Arial" w:cs="Arial"/>
                <w:b/>
                <w:color w:val="000000" w:themeColor="text1"/>
                <w:sz w:val="24"/>
                <w:szCs w:val="24"/>
              </w:rPr>
            </w:pPr>
            <w:r w:rsidRPr="00C062A1">
              <w:rPr>
                <w:rFonts w:ascii="Arial" w:hAnsi="Arial" w:cs="Arial"/>
                <w:b/>
                <w:color w:val="000000" w:themeColor="text1"/>
                <w:sz w:val="24"/>
                <w:szCs w:val="24"/>
              </w:rPr>
              <w:t>Capital</w:t>
            </w:r>
          </w:p>
          <w:p w14:paraId="0F4CDEF6" w14:textId="77777777" w:rsidR="00C74952" w:rsidRPr="00C062A1" w:rsidRDefault="00C74952" w:rsidP="002F24A3">
            <w:pPr>
              <w:tabs>
                <w:tab w:val="left" w:pos="993"/>
              </w:tabs>
              <w:spacing w:after="0" w:line="240" w:lineRule="auto"/>
              <w:jc w:val="center"/>
              <w:rPr>
                <w:rFonts w:ascii="Arial" w:hAnsi="Arial" w:cs="Arial"/>
                <w:b/>
                <w:color w:val="000000" w:themeColor="text1"/>
                <w:sz w:val="24"/>
                <w:szCs w:val="24"/>
              </w:rPr>
            </w:pPr>
            <w:r w:rsidRPr="00C062A1">
              <w:rPr>
                <w:rFonts w:ascii="Arial" w:hAnsi="Arial" w:cs="Arial"/>
                <w:b/>
                <w:color w:val="000000" w:themeColor="text1"/>
                <w:sz w:val="24"/>
                <w:szCs w:val="24"/>
              </w:rPr>
              <w:t>FY 2019/20</w:t>
            </w:r>
          </w:p>
        </w:tc>
        <w:tc>
          <w:tcPr>
            <w:tcW w:w="1843" w:type="dxa"/>
            <w:shd w:val="clear" w:color="auto" w:fill="D9D9D9" w:themeFill="background1" w:themeFillShade="D9"/>
          </w:tcPr>
          <w:p w14:paraId="1312478E" w14:textId="77777777" w:rsidR="00C74952" w:rsidRPr="00C062A1" w:rsidRDefault="00C74952" w:rsidP="002F24A3">
            <w:pPr>
              <w:tabs>
                <w:tab w:val="left" w:pos="993"/>
              </w:tabs>
              <w:spacing w:after="0" w:line="240" w:lineRule="auto"/>
              <w:jc w:val="center"/>
              <w:rPr>
                <w:rFonts w:ascii="Arial" w:hAnsi="Arial" w:cs="Arial"/>
                <w:b/>
                <w:color w:val="000000" w:themeColor="text1"/>
                <w:sz w:val="24"/>
                <w:szCs w:val="24"/>
              </w:rPr>
            </w:pPr>
            <w:r w:rsidRPr="00C062A1">
              <w:rPr>
                <w:rFonts w:ascii="Arial" w:hAnsi="Arial" w:cs="Arial"/>
                <w:b/>
                <w:color w:val="000000" w:themeColor="text1"/>
                <w:sz w:val="24"/>
                <w:szCs w:val="24"/>
              </w:rPr>
              <w:t>Revenue &amp;</w:t>
            </w:r>
          </w:p>
          <w:p w14:paraId="3F4FD14D" w14:textId="77777777" w:rsidR="00C74952" w:rsidRPr="00C062A1" w:rsidRDefault="00C74952" w:rsidP="002F24A3">
            <w:pPr>
              <w:tabs>
                <w:tab w:val="left" w:pos="993"/>
              </w:tabs>
              <w:spacing w:after="0" w:line="240" w:lineRule="auto"/>
              <w:jc w:val="center"/>
              <w:rPr>
                <w:rFonts w:ascii="Arial" w:hAnsi="Arial" w:cs="Arial"/>
                <w:b/>
                <w:color w:val="000000" w:themeColor="text1"/>
                <w:sz w:val="24"/>
                <w:szCs w:val="24"/>
              </w:rPr>
            </w:pPr>
            <w:r w:rsidRPr="00C062A1">
              <w:rPr>
                <w:rFonts w:ascii="Arial" w:hAnsi="Arial" w:cs="Arial"/>
                <w:b/>
                <w:color w:val="000000" w:themeColor="text1"/>
                <w:sz w:val="24"/>
                <w:szCs w:val="24"/>
              </w:rPr>
              <w:t>Capital</w:t>
            </w:r>
          </w:p>
          <w:p w14:paraId="741D5215" w14:textId="77777777" w:rsidR="00C74952" w:rsidRPr="00C062A1" w:rsidRDefault="00C74952" w:rsidP="002F24A3">
            <w:pPr>
              <w:tabs>
                <w:tab w:val="left" w:pos="993"/>
              </w:tabs>
              <w:spacing w:after="0" w:line="240" w:lineRule="auto"/>
              <w:jc w:val="center"/>
              <w:rPr>
                <w:rFonts w:ascii="Arial" w:hAnsi="Arial" w:cs="Arial"/>
                <w:b/>
                <w:color w:val="000000" w:themeColor="text1"/>
                <w:sz w:val="24"/>
                <w:szCs w:val="24"/>
              </w:rPr>
            </w:pPr>
            <w:r w:rsidRPr="00C062A1">
              <w:rPr>
                <w:rFonts w:ascii="Arial" w:hAnsi="Arial" w:cs="Arial"/>
                <w:b/>
                <w:color w:val="000000" w:themeColor="text1"/>
                <w:sz w:val="24"/>
                <w:szCs w:val="24"/>
              </w:rPr>
              <w:t>FY 2018/19</w:t>
            </w:r>
          </w:p>
        </w:tc>
        <w:tc>
          <w:tcPr>
            <w:tcW w:w="1843" w:type="dxa"/>
            <w:shd w:val="clear" w:color="auto" w:fill="D9D9D9" w:themeFill="background1" w:themeFillShade="D9"/>
          </w:tcPr>
          <w:p w14:paraId="23E2EB0A" w14:textId="77777777" w:rsidR="00C74952" w:rsidRPr="00C062A1" w:rsidRDefault="00C74952" w:rsidP="002F24A3">
            <w:pPr>
              <w:tabs>
                <w:tab w:val="left" w:pos="993"/>
              </w:tabs>
              <w:spacing w:after="0" w:line="240" w:lineRule="auto"/>
              <w:jc w:val="center"/>
              <w:rPr>
                <w:rFonts w:ascii="Arial" w:hAnsi="Arial" w:cs="Arial"/>
                <w:b/>
                <w:color w:val="000000" w:themeColor="text1"/>
                <w:sz w:val="24"/>
                <w:szCs w:val="24"/>
              </w:rPr>
            </w:pPr>
            <w:r w:rsidRPr="00C062A1">
              <w:rPr>
                <w:rFonts w:ascii="Arial" w:hAnsi="Arial" w:cs="Arial"/>
                <w:b/>
                <w:color w:val="000000" w:themeColor="text1"/>
                <w:sz w:val="24"/>
                <w:szCs w:val="24"/>
              </w:rPr>
              <w:t>Revenue &amp;</w:t>
            </w:r>
          </w:p>
          <w:p w14:paraId="535F9867" w14:textId="77777777" w:rsidR="00C74952" w:rsidRPr="00C062A1" w:rsidRDefault="00C74952" w:rsidP="002F24A3">
            <w:pPr>
              <w:tabs>
                <w:tab w:val="left" w:pos="993"/>
              </w:tabs>
              <w:spacing w:after="0" w:line="240" w:lineRule="auto"/>
              <w:jc w:val="center"/>
              <w:rPr>
                <w:rFonts w:ascii="Arial" w:hAnsi="Arial" w:cs="Arial"/>
                <w:b/>
                <w:color w:val="000000" w:themeColor="text1"/>
                <w:sz w:val="24"/>
                <w:szCs w:val="24"/>
              </w:rPr>
            </w:pPr>
            <w:r w:rsidRPr="00C062A1">
              <w:rPr>
                <w:rFonts w:ascii="Arial" w:hAnsi="Arial" w:cs="Arial"/>
                <w:b/>
                <w:color w:val="000000" w:themeColor="text1"/>
                <w:sz w:val="24"/>
                <w:szCs w:val="24"/>
              </w:rPr>
              <w:t>Capital</w:t>
            </w:r>
          </w:p>
          <w:p w14:paraId="156682FC" w14:textId="77777777" w:rsidR="00C74952" w:rsidRPr="00C062A1" w:rsidRDefault="00C74952" w:rsidP="002F24A3">
            <w:pPr>
              <w:tabs>
                <w:tab w:val="left" w:pos="993"/>
              </w:tabs>
              <w:spacing w:after="0" w:line="240" w:lineRule="auto"/>
              <w:jc w:val="center"/>
              <w:rPr>
                <w:rFonts w:ascii="Arial" w:hAnsi="Arial" w:cs="Arial"/>
                <w:b/>
                <w:color w:val="000000" w:themeColor="text1"/>
                <w:sz w:val="24"/>
                <w:szCs w:val="24"/>
              </w:rPr>
            </w:pPr>
            <w:r w:rsidRPr="00C062A1">
              <w:rPr>
                <w:rFonts w:ascii="Arial" w:hAnsi="Arial" w:cs="Arial"/>
                <w:b/>
                <w:color w:val="000000" w:themeColor="text1"/>
                <w:sz w:val="24"/>
                <w:szCs w:val="24"/>
              </w:rPr>
              <w:t>FY 2017/18</w:t>
            </w:r>
          </w:p>
        </w:tc>
      </w:tr>
      <w:tr w:rsidR="00C74952" w:rsidRPr="00C062A1" w14:paraId="4848F522" w14:textId="77777777" w:rsidTr="007500FC">
        <w:tc>
          <w:tcPr>
            <w:tcW w:w="5103" w:type="dxa"/>
          </w:tcPr>
          <w:p w14:paraId="734F472D" w14:textId="77777777" w:rsidR="00C74952" w:rsidRPr="00C062A1" w:rsidRDefault="00C74952" w:rsidP="002F24A3">
            <w:pPr>
              <w:tabs>
                <w:tab w:val="left" w:pos="993"/>
              </w:tabs>
              <w:spacing w:after="0" w:line="240" w:lineRule="auto"/>
              <w:rPr>
                <w:rFonts w:ascii="Arial" w:hAnsi="Arial" w:cs="Arial"/>
                <w:color w:val="000000" w:themeColor="text1"/>
                <w:sz w:val="24"/>
                <w:szCs w:val="24"/>
              </w:rPr>
            </w:pPr>
            <w:r w:rsidRPr="00C062A1">
              <w:rPr>
                <w:rFonts w:ascii="Arial" w:hAnsi="Arial" w:cs="Arial"/>
                <w:color w:val="000000" w:themeColor="text1"/>
                <w:sz w:val="24"/>
                <w:szCs w:val="24"/>
              </w:rPr>
              <w:t>Total value of transactions reported</w:t>
            </w:r>
            <w:r w:rsidRPr="00C062A1">
              <w:rPr>
                <w:rFonts w:ascii="Arial" w:hAnsi="Arial" w:cs="Arial"/>
                <w:color w:val="000000" w:themeColor="text1"/>
                <w:sz w:val="24"/>
                <w:szCs w:val="24"/>
              </w:rPr>
              <w:tab/>
            </w:r>
          </w:p>
        </w:tc>
        <w:tc>
          <w:tcPr>
            <w:tcW w:w="1701" w:type="dxa"/>
          </w:tcPr>
          <w:p w14:paraId="436A868E" w14:textId="77777777" w:rsidR="00C74952" w:rsidRPr="00C062A1" w:rsidRDefault="00C74952" w:rsidP="002F24A3">
            <w:pPr>
              <w:tabs>
                <w:tab w:val="left" w:pos="993"/>
              </w:tabs>
              <w:spacing w:after="0" w:line="240" w:lineRule="auto"/>
              <w:jc w:val="center"/>
              <w:rPr>
                <w:rFonts w:ascii="Arial" w:hAnsi="Arial" w:cs="Arial"/>
                <w:color w:val="000000" w:themeColor="text1"/>
                <w:sz w:val="24"/>
                <w:szCs w:val="24"/>
              </w:rPr>
            </w:pPr>
            <w:r w:rsidRPr="00C062A1">
              <w:rPr>
                <w:rFonts w:ascii="Arial" w:hAnsi="Arial" w:cs="Arial"/>
                <w:color w:val="000000" w:themeColor="text1"/>
                <w:sz w:val="24"/>
                <w:szCs w:val="24"/>
              </w:rPr>
              <w:t>£16,019,599</w:t>
            </w:r>
          </w:p>
        </w:tc>
        <w:tc>
          <w:tcPr>
            <w:tcW w:w="1843" w:type="dxa"/>
          </w:tcPr>
          <w:p w14:paraId="68B8BD24" w14:textId="77777777" w:rsidR="00C74952" w:rsidRPr="00C062A1" w:rsidRDefault="00C74952" w:rsidP="002F24A3">
            <w:pPr>
              <w:tabs>
                <w:tab w:val="left" w:pos="993"/>
              </w:tabs>
              <w:spacing w:after="0" w:line="240" w:lineRule="auto"/>
              <w:jc w:val="center"/>
              <w:rPr>
                <w:rFonts w:ascii="Arial" w:hAnsi="Arial" w:cs="Arial"/>
                <w:color w:val="000000" w:themeColor="text1"/>
                <w:sz w:val="24"/>
                <w:szCs w:val="24"/>
              </w:rPr>
            </w:pPr>
            <w:r w:rsidRPr="00C062A1">
              <w:rPr>
                <w:rFonts w:ascii="Arial" w:hAnsi="Arial" w:cs="Arial"/>
                <w:color w:val="000000" w:themeColor="text1"/>
                <w:sz w:val="24"/>
                <w:szCs w:val="24"/>
              </w:rPr>
              <w:t>£20,583,367</w:t>
            </w:r>
          </w:p>
        </w:tc>
        <w:tc>
          <w:tcPr>
            <w:tcW w:w="1843" w:type="dxa"/>
          </w:tcPr>
          <w:p w14:paraId="123CF9D4" w14:textId="77777777" w:rsidR="00C74952" w:rsidRPr="00C062A1" w:rsidRDefault="00C74952" w:rsidP="002F24A3">
            <w:pPr>
              <w:tabs>
                <w:tab w:val="left" w:pos="993"/>
              </w:tabs>
              <w:spacing w:after="0" w:line="240" w:lineRule="auto"/>
              <w:jc w:val="center"/>
              <w:rPr>
                <w:rFonts w:ascii="Arial" w:hAnsi="Arial" w:cs="Arial"/>
                <w:color w:val="000000" w:themeColor="text1"/>
                <w:sz w:val="24"/>
                <w:szCs w:val="24"/>
              </w:rPr>
            </w:pPr>
            <w:r w:rsidRPr="00C062A1">
              <w:rPr>
                <w:rFonts w:ascii="Arial" w:hAnsi="Arial" w:cs="Arial"/>
                <w:color w:val="000000" w:themeColor="text1"/>
                <w:sz w:val="24"/>
                <w:szCs w:val="24"/>
              </w:rPr>
              <w:t>£18,834,124</w:t>
            </w:r>
          </w:p>
        </w:tc>
      </w:tr>
      <w:tr w:rsidR="00C74952" w:rsidRPr="00C062A1" w14:paraId="19AB031D" w14:textId="77777777" w:rsidTr="007500FC">
        <w:tc>
          <w:tcPr>
            <w:tcW w:w="5103" w:type="dxa"/>
          </w:tcPr>
          <w:p w14:paraId="31F0FF41" w14:textId="77777777" w:rsidR="00C74952" w:rsidRPr="00C062A1" w:rsidRDefault="00C74952" w:rsidP="002F24A3">
            <w:pPr>
              <w:tabs>
                <w:tab w:val="left" w:pos="993"/>
              </w:tabs>
              <w:spacing w:after="0" w:line="240" w:lineRule="auto"/>
              <w:rPr>
                <w:rFonts w:ascii="Arial" w:hAnsi="Arial" w:cs="Arial"/>
                <w:color w:val="000000" w:themeColor="text1"/>
                <w:sz w:val="24"/>
                <w:szCs w:val="24"/>
              </w:rPr>
            </w:pPr>
            <w:r w:rsidRPr="00C062A1">
              <w:rPr>
                <w:rFonts w:ascii="Arial" w:hAnsi="Arial" w:cs="Arial"/>
                <w:color w:val="000000" w:themeColor="text1"/>
                <w:sz w:val="24"/>
                <w:szCs w:val="24"/>
              </w:rPr>
              <w:t>Number of transactions (Purchase Orders)</w:t>
            </w:r>
          </w:p>
        </w:tc>
        <w:tc>
          <w:tcPr>
            <w:tcW w:w="1701" w:type="dxa"/>
          </w:tcPr>
          <w:p w14:paraId="057D3BA8" w14:textId="447B3231" w:rsidR="00C74952" w:rsidRPr="00C062A1" w:rsidRDefault="0008523C" w:rsidP="002F24A3">
            <w:pPr>
              <w:tabs>
                <w:tab w:val="left" w:pos="993"/>
              </w:tabs>
              <w:spacing w:after="0" w:line="240" w:lineRule="auto"/>
              <w:jc w:val="center"/>
              <w:rPr>
                <w:rFonts w:ascii="Arial" w:hAnsi="Arial" w:cs="Arial"/>
                <w:color w:val="000000" w:themeColor="text1"/>
                <w:sz w:val="24"/>
                <w:szCs w:val="24"/>
              </w:rPr>
            </w:pPr>
            <w:r w:rsidRPr="00C062A1">
              <w:rPr>
                <w:rFonts w:ascii="Arial" w:hAnsi="Arial" w:cs="Arial"/>
                <w:color w:val="000000" w:themeColor="text1"/>
                <w:sz w:val="24"/>
                <w:szCs w:val="24"/>
              </w:rPr>
              <w:t>4,040</w:t>
            </w:r>
          </w:p>
        </w:tc>
        <w:tc>
          <w:tcPr>
            <w:tcW w:w="1843" w:type="dxa"/>
          </w:tcPr>
          <w:p w14:paraId="306643BF" w14:textId="4DE637D6" w:rsidR="00C74952" w:rsidRPr="00C062A1" w:rsidRDefault="0008523C" w:rsidP="002F24A3">
            <w:pPr>
              <w:tabs>
                <w:tab w:val="left" w:pos="993"/>
              </w:tabs>
              <w:spacing w:after="0" w:line="240" w:lineRule="auto"/>
              <w:jc w:val="center"/>
              <w:rPr>
                <w:rFonts w:ascii="Arial" w:hAnsi="Arial" w:cs="Arial"/>
                <w:color w:val="000000" w:themeColor="text1"/>
                <w:sz w:val="24"/>
                <w:szCs w:val="24"/>
              </w:rPr>
            </w:pPr>
            <w:r w:rsidRPr="00C062A1">
              <w:rPr>
                <w:rFonts w:ascii="Arial" w:hAnsi="Arial" w:cs="Arial"/>
                <w:color w:val="000000" w:themeColor="text1"/>
                <w:sz w:val="24"/>
                <w:szCs w:val="24"/>
              </w:rPr>
              <w:t>4,720</w:t>
            </w:r>
          </w:p>
        </w:tc>
        <w:tc>
          <w:tcPr>
            <w:tcW w:w="1843" w:type="dxa"/>
          </w:tcPr>
          <w:p w14:paraId="5E41B433" w14:textId="7F55962D" w:rsidR="00C74952" w:rsidRPr="00C062A1" w:rsidRDefault="0008523C" w:rsidP="002F24A3">
            <w:pPr>
              <w:tabs>
                <w:tab w:val="left" w:pos="993"/>
              </w:tabs>
              <w:spacing w:after="0" w:line="240" w:lineRule="auto"/>
              <w:jc w:val="center"/>
              <w:rPr>
                <w:rFonts w:ascii="Arial" w:hAnsi="Arial" w:cs="Arial"/>
                <w:color w:val="000000" w:themeColor="text1"/>
                <w:sz w:val="24"/>
                <w:szCs w:val="24"/>
              </w:rPr>
            </w:pPr>
            <w:r w:rsidRPr="00C062A1">
              <w:rPr>
                <w:rFonts w:ascii="Arial" w:hAnsi="Arial" w:cs="Arial"/>
                <w:color w:val="000000" w:themeColor="text1"/>
                <w:sz w:val="24"/>
                <w:szCs w:val="24"/>
              </w:rPr>
              <w:t>4,904</w:t>
            </w:r>
          </w:p>
        </w:tc>
      </w:tr>
      <w:tr w:rsidR="00C74952" w:rsidRPr="00C062A1" w14:paraId="5B0E00F4" w14:textId="77777777" w:rsidTr="007500FC">
        <w:tc>
          <w:tcPr>
            <w:tcW w:w="5103" w:type="dxa"/>
            <w:vAlign w:val="center"/>
          </w:tcPr>
          <w:p w14:paraId="50A3294E" w14:textId="77777777" w:rsidR="00C74952" w:rsidRPr="00C062A1" w:rsidRDefault="00C74952" w:rsidP="00E92C67">
            <w:pPr>
              <w:tabs>
                <w:tab w:val="left" w:pos="993"/>
              </w:tabs>
              <w:spacing w:after="0" w:line="240" w:lineRule="auto"/>
              <w:rPr>
                <w:rFonts w:ascii="Arial" w:hAnsi="Arial" w:cs="Arial"/>
                <w:color w:val="000000" w:themeColor="text1"/>
                <w:sz w:val="24"/>
                <w:szCs w:val="24"/>
              </w:rPr>
            </w:pPr>
            <w:r w:rsidRPr="00C062A1">
              <w:rPr>
                <w:rFonts w:ascii="Arial" w:hAnsi="Arial" w:cs="Arial"/>
                <w:color w:val="000000" w:themeColor="text1"/>
                <w:sz w:val="24"/>
                <w:szCs w:val="24"/>
              </w:rPr>
              <w:t>Expenditure with SMEs</w:t>
            </w:r>
          </w:p>
        </w:tc>
        <w:tc>
          <w:tcPr>
            <w:tcW w:w="1701" w:type="dxa"/>
          </w:tcPr>
          <w:p w14:paraId="1E7470E7" w14:textId="77777777" w:rsidR="00C74952" w:rsidRPr="00C062A1" w:rsidRDefault="00C74952" w:rsidP="002F24A3">
            <w:pPr>
              <w:tabs>
                <w:tab w:val="left" w:pos="993"/>
              </w:tabs>
              <w:spacing w:after="0" w:line="240" w:lineRule="auto"/>
              <w:jc w:val="center"/>
              <w:rPr>
                <w:rFonts w:ascii="Arial" w:hAnsi="Arial" w:cs="Arial"/>
                <w:color w:val="000000" w:themeColor="text1"/>
                <w:sz w:val="24"/>
                <w:szCs w:val="24"/>
              </w:rPr>
            </w:pPr>
            <w:r w:rsidRPr="00C062A1">
              <w:rPr>
                <w:rFonts w:ascii="Arial" w:hAnsi="Arial" w:cs="Arial"/>
                <w:color w:val="000000" w:themeColor="text1"/>
                <w:sz w:val="24"/>
                <w:szCs w:val="24"/>
              </w:rPr>
              <w:t>£8,330,191</w:t>
            </w:r>
          </w:p>
          <w:p w14:paraId="741C000B" w14:textId="77777777" w:rsidR="00C74952" w:rsidRPr="00C062A1" w:rsidRDefault="00C74952" w:rsidP="002F24A3">
            <w:pPr>
              <w:tabs>
                <w:tab w:val="left" w:pos="993"/>
              </w:tabs>
              <w:spacing w:after="0" w:line="240" w:lineRule="auto"/>
              <w:jc w:val="center"/>
              <w:rPr>
                <w:rFonts w:ascii="Arial" w:hAnsi="Arial" w:cs="Arial"/>
                <w:color w:val="000000" w:themeColor="text1"/>
                <w:sz w:val="24"/>
                <w:szCs w:val="24"/>
              </w:rPr>
            </w:pPr>
            <w:r w:rsidRPr="00C062A1">
              <w:rPr>
                <w:rFonts w:ascii="Arial" w:hAnsi="Arial" w:cs="Arial"/>
                <w:color w:val="000000" w:themeColor="text1"/>
                <w:sz w:val="24"/>
                <w:szCs w:val="24"/>
              </w:rPr>
              <w:t>(52%)</w:t>
            </w:r>
          </w:p>
        </w:tc>
        <w:tc>
          <w:tcPr>
            <w:tcW w:w="1843" w:type="dxa"/>
          </w:tcPr>
          <w:p w14:paraId="713A93B0" w14:textId="77777777" w:rsidR="00C74952" w:rsidRPr="00C062A1" w:rsidRDefault="00C74952" w:rsidP="002F24A3">
            <w:pPr>
              <w:tabs>
                <w:tab w:val="left" w:pos="993"/>
              </w:tabs>
              <w:spacing w:after="0" w:line="240" w:lineRule="auto"/>
              <w:jc w:val="center"/>
              <w:rPr>
                <w:rFonts w:ascii="Arial" w:hAnsi="Arial" w:cs="Arial"/>
                <w:color w:val="000000" w:themeColor="text1"/>
                <w:sz w:val="24"/>
                <w:szCs w:val="24"/>
              </w:rPr>
            </w:pPr>
            <w:r w:rsidRPr="00C062A1">
              <w:rPr>
                <w:rFonts w:ascii="Arial" w:hAnsi="Arial" w:cs="Arial"/>
                <w:color w:val="000000" w:themeColor="text1"/>
                <w:sz w:val="24"/>
                <w:szCs w:val="24"/>
              </w:rPr>
              <w:t>£9,880,016</w:t>
            </w:r>
          </w:p>
          <w:p w14:paraId="6F40C424" w14:textId="77777777" w:rsidR="00C74952" w:rsidRPr="00C062A1" w:rsidRDefault="00C74952" w:rsidP="002F24A3">
            <w:pPr>
              <w:tabs>
                <w:tab w:val="left" w:pos="993"/>
              </w:tabs>
              <w:spacing w:after="0" w:line="240" w:lineRule="auto"/>
              <w:jc w:val="center"/>
              <w:rPr>
                <w:rFonts w:ascii="Arial" w:hAnsi="Arial" w:cs="Arial"/>
                <w:color w:val="000000" w:themeColor="text1"/>
                <w:sz w:val="24"/>
                <w:szCs w:val="24"/>
              </w:rPr>
            </w:pPr>
            <w:r w:rsidRPr="00C062A1">
              <w:rPr>
                <w:rFonts w:ascii="Arial" w:hAnsi="Arial" w:cs="Arial"/>
                <w:color w:val="000000" w:themeColor="text1"/>
                <w:sz w:val="24"/>
                <w:szCs w:val="24"/>
              </w:rPr>
              <w:t>(48%)</w:t>
            </w:r>
          </w:p>
        </w:tc>
        <w:tc>
          <w:tcPr>
            <w:tcW w:w="1843" w:type="dxa"/>
          </w:tcPr>
          <w:p w14:paraId="22B18700" w14:textId="77777777" w:rsidR="00C74952" w:rsidRPr="00C062A1" w:rsidRDefault="00C74952" w:rsidP="002F24A3">
            <w:pPr>
              <w:tabs>
                <w:tab w:val="left" w:pos="993"/>
              </w:tabs>
              <w:spacing w:after="0" w:line="240" w:lineRule="auto"/>
              <w:jc w:val="center"/>
              <w:rPr>
                <w:rFonts w:ascii="Arial" w:hAnsi="Arial" w:cs="Arial"/>
                <w:color w:val="000000" w:themeColor="text1"/>
                <w:sz w:val="24"/>
                <w:szCs w:val="24"/>
              </w:rPr>
            </w:pPr>
            <w:r w:rsidRPr="00C062A1">
              <w:rPr>
                <w:rFonts w:ascii="Arial" w:hAnsi="Arial" w:cs="Arial"/>
                <w:color w:val="000000" w:themeColor="text1"/>
                <w:sz w:val="24"/>
                <w:szCs w:val="24"/>
              </w:rPr>
              <w:t>£8,663,697</w:t>
            </w:r>
          </w:p>
          <w:p w14:paraId="0F94D076" w14:textId="77777777" w:rsidR="00C74952" w:rsidRPr="00C062A1" w:rsidRDefault="00C74952" w:rsidP="002F24A3">
            <w:pPr>
              <w:tabs>
                <w:tab w:val="left" w:pos="993"/>
              </w:tabs>
              <w:spacing w:after="0" w:line="240" w:lineRule="auto"/>
              <w:jc w:val="center"/>
              <w:rPr>
                <w:rFonts w:ascii="Arial" w:hAnsi="Arial" w:cs="Arial"/>
                <w:color w:val="000000" w:themeColor="text1"/>
                <w:sz w:val="24"/>
                <w:szCs w:val="24"/>
              </w:rPr>
            </w:pPr>
            <w:r w:rsidRPr="00C062A1">
              <w:rPr>
                <w:rFonts w:ascii="Arial" w:hAnsi="Arial" w:cs="Arial"/>
                <w:color w:val="000000" w:themeColor="text1"/>
                <w:sz w:val="24"/>
                <w:szCs w:val="24"/>
              </w:rPr>
              <w:t>(46%)</w:t>
            </w:r>
          </w:p>
        </w:tc>
      </w:tr>
      <w:tr w:rsidR="00C74952" w:rsidRPr="00C062A1" w14:paraId="1CF2E73B" w14:textId="77777777" w:rsidTr="007500FC">
        <w:tc>
          <w:tcPr>
            <w:tcW w:w="5103" w:type="dxa"/>
          </w:tcPr>
          <w:p w14:paraId="4347726C" w14:textId="77777777" w:rsidR="00C74952" w:rsidRPr="00C062A1" w:rsidRDefault="00C74952" w:rsidP="002F24A3">
            <w:pPr>
              <w:tabs>
                <w:tab w:val="left" w:pos="993"/>
              </w:tabs>
              <w:spacing w:after="0" w:line="240" w:lineRule="auto"/>
              <w:rPr>
                <w:rFonts w:ascii="Arial" w:hAnsi="Arial" w:cs="Arial"/>
                <w:color w:val="000000" w:themeColor="text1"/>
                <w:sz w:val="24"/>
                <w:szCs w:val="24"/>
              </w:rPr>
            </w:pPr>
            <w:r w:rsidRPr="00C062A1">
              <w:rPr>
                <w:rFonts w:ascii="Arial" w:hAnsi="Arial" w:cs="Arial"/>
                <w:color w:val="000000" w:themeColor="text1"/>
                <w:sz w:val="24"/>
                <w:szCs w:val="24"/>
              </w:rPr>
              <w:t>Active supplier accounts in this period:</w:t>
            </w:r>
          </w:p>
        </w:tc>
        <w:tc>
          <w:tcPr>
            <w:tcW w:w="1701" w:type="dxa"/>
          </w:tcPr>
          <w:p w14:paraId="26FD74A6" w14:textId="77777777" w:rsidR="00C74952" w:rsidRPr="00C062A1" w:rsidRDefault="00C74952" w:rsidP="002F24A3">
            <w:pPr>
              <w:tabs>
                <w:tab w:val="left" w:pos="993"/>
              </w:tabs>
              <w:spacing w:after="0" w:line="240" w:lineRule="auto"/>
              <w:jc w:val="center"/>
              <w:rPr>
                <w:rFonts w:ascii="Arial" w:hAnsi="Arial" w:cs="Arial"/>
                <w:color w:val="000000" w:themeColor="text1"/>
                <w:sz w:val="24"/>
                <w:szCs w:val="24"/>
              </w:rPr>
            </w:pPr>
            <w:r w:rsidRPr="00C062A1">
              <w:rPr>
                <w:rFonts w:ascii="Arial" w:hAnsi="Arial" w:cs="Arial"/>
                <w:color w:val="000000" w:themeColor="text1"/>
                <w:sz w:val="24"/>
                <w:szCs w:val="24"/>
              </w:rPr>
              <w:t>1,045</w:t>
            </w:r>
          </w:p>
        </w:tc>
        <w:tc>
          <w:tcPr>
            <w:tcW w:w="1843" w:type="dxa"/>
          </w:tcPr>
          <w:p w14:paraId="6470CEDB" w14:textId="77777777" w:rsidR="00C74952" w:rsidRPr="00C062A1" w:rsidRDefault="00C74952" w:rsidP="002F24A3">
            <w:pPr>
              <w:tabs>
                <w:tab w:val="left" w:pos="993"/>
              </w:tabs>
              <w:spacing w:after="0" w:line="240" w:lineRule="auto"/>
              <w:jc w:val="center"/>
              <w:rPr>
                <w:rFonts w:ascii="Arial" w:hAnsi="Arial" w:cs="Arial"/>
                <w:color w:val="000000" w:themeColor="text1"/>
                <w:sz w:val="24"/>
                <w:szCs w:val="24"/>
              </w:rPr>
            </w:pPr>
            <w:r w:rsidRPr="00C062A1">
              <w:rPr>
                <w:rFonts w:ascii="Arial" w:hAnsi="Arial" w:cs="Arial"/>
                <w:color w:val="000000" w:themeColor="text1"/>
                <w:sz w:val="24"/>
                <w:szCs w:val="24"/>
              </w:rPr>
              <w:t>1,187</w:t>
            </w:r>
          </w:p>
        </w:tc>
        <w:tc>
          <w:tcPr>
            <w:tcW w:w="1843" w:type="dxa"/>
          </w:tcPr>
          <w:p w14:paraId="56BC9D7F" w14:textId="77777777" w:rsidR="00C74952" w:rsidRPr="00C062A1" w:rsidRDefault="00C74952" w:rsidP="002F24A3">
            <w:pPr>
              <w:tabs>
                <w:tab w:val="left" w:pos="993"/>
              </w:tabs>
              <w:spacing w:after="0" w:line="240" w:lineRule="auto"/>
              <w:jc w:val="center"/>
              <w:rPr>
                <w:rFonts w:ascii="Arial" w:hAnsi="Arial" w:cs="Arial"/>
                <w:color w:val="000000" w:themeColor="text1"/>
                <w:sz w:val="24"/>
                <w:szCs w:val="24"/>
              </w:rPr>
            </w:pPr>
            <w:r w:rsidRPr="00C062A1">
              <w:rPr>
                <w:rFonts w:ascii="Arial" w:hAnsi="Arial" w:cs="Arial"/>
                <w:color w:val="000000" w:themeColor="text1"/>
                <w:sz w:val="24"/>
                <w:szCs w:val="24"/>
              </w:rPr>
              <w:t>1,278</w:t>
            </w:r>
          </w:p>
        </w:tc>
      </w:tr>
      <w:tr w:rsidR="00C74952" w:rsidRPr="00C062A1" w14:paraId="1AC20535" w14:textId="77777777" w:rsidTr="007500FC">
        <w:tc>
          <w:tcPr>
            <w:tcW w:w="5103" w:type="dxa"/>
          </w:tcPr>
          <w:p w14:paraId="2D9D90F6" w14:textId="77777777" w:rsidR="00C74952" w:rsidRPr="00C062A1" w:rsidRDefault="00C74952" w:rsidP="002F24A3">
            <w:pPr>
              <w:tabs>
                <w:tab w:val="left" w:pos="993"/>
              </w:tabs>
              <w:spacing w:after="0" w:line="240" w:lineRule="auto"/>
              <w:rPr>
                <w:rFonts w:ascii="Arial" w:hAnsi="Arial" w:cs="Arial"/>
                <w:color w:val="000000" w:themeColor="text1"/>
                <w:sz w:val="24"/>
                <w:szCs w:val="24"/>
              </w:rPr>
            </w:pPr>
            <w:r w:rsidRPr="00C062A1">
              <w:rPr>
                <w:rFonts w:ascii="Arial" w:hAnsi="Arial" w:cs="Arial"/>
                <w:color w:val="000000" w:themeColor="text1"/>
                <w:sz w:val="24"/>
                <w:szCs w:val="24"/>
              </w:rPr>
              <w:t xml:space="preserve">Total number of invoices </w:t>
            </w:r>
            <w:r w:rsidRPr="00C062A1">
              <w:rPr>
                <w:rFonts w:ascii="Arial" w:hAnsi="Arial" w:cs="Arial"/>
                <w:color w:val="000000" w:themeColor="text1"/>
                <w:sz w:val="24"/>
                <w:szCs w:val="24"/>
              </w:rPr>
              <w:tab/>
            </w:r>
          </w:p>
        </w:tc>
        <w:tc>
          <w:tcPr>
            <w:tcW w:w="1701" w:type="dxa"/>
          </w:tcPr>
          <w:p w14:paraId="10CEEEA2" w14:textId="77777777" w:rsidR="00C74952" w:rsidRPr="00C062A1" w:rsidRDefault="00C74952" w:rsidP="002F24A3">
            <w:pPr>
              <w:tabs>
                <w:tab w:val="left" w:pos="993"/>
              </w:tabs>
              <w:spacing w:after="0" w:line="240" w:lineRule="auto"/>
              <w:jc w:val="center"/>
              <w:rPr>
                <w:rFonts w:ascii="Arial" w:hAnsi="Arial" w:cs="Arial"/>
                <w:color w:val="000000" w:themeColor="text1"/>
                <w:sz w:val="24"/>
                <w:szCs w:val="24"/>
              </w:rPr>
            </w:pPr>
            <w:r w:rsidRPr="00C062A1">
              <w:rPr>
                <w:rFonts w:ascii="Arial" w:hAnsi="Arial" w:cs="Arial"/>
                <w:sz w:val="24"/>
                <w:szCs w:val="24"/>
              </w:rPr>
              <w:t>7,189</w:t>
            </w:r>
          </w:p>
        </w:tc>
        <w:tc>
          <w:tcPr>
            <w:tcW w:w="1843" w:type="dxa"/>
          </w:tcPr>
          <w:p w14:paraId="6DA57858" w14:textId="77777777" w:rsidR="00C74952" w:rsidRPr="00C062A1" w:rsidRDefault="00C74952" w:rsidP="002F24A3">
            <w:pPr>
              <w:tabs>
                <w:tab w:val="left" w:pos="993"/>
              </w:tabs>
              <w:spacing w:after="0" w:line="240" w:lineRule="auto"/>
              <w:jc w:val="center"/>
              <w:rPr>
                <w:rFonts w:ascii="Arial" w:hAnsi="Arial" w:cs="Arial"/>
                <w:color w:val="000000" w:themeColor="text1"/>
                <w:sz w:val="24"/>
                <w:szCs w:val="24"/>
              </w:rPr>
            </w:pPr>
            <w:r w:rsidRPr="00C062A1">
              <w:rPr>
                <w:rFonts w:ascii="Arial" w:hAnsi="Arial" w:cs="Arial"/>
                <w:color w:val="000000" w:themeColor="text1"/>
                <w:sz w:val="24"/>
                <w:szCs w:val="24"/>
              </w:rPr>
              <w:t>8,313</w:t>
            </w:r>
          </w:p>
        </w:tc>
        <w:tc>
          <w:tcPr>
            <w:tcW w:w="1843" w:type="dxa"/>
          </w:tcPr>
          <w:p w14:paraId="0006AA5B" w14:textId="77777777" w:rsidR="00C74952" w:rsidRPr="00C062A1" w:rsidRDefault="00C74952" w:rsidP="002F24A3">
            <w:pPr>
              <w:tabs>
                <w:tab w:val="left" w:pos="993"/>
              </w:tabs>
              <w:spacing w:after="0" w:line="240" w:lineRule="auto"/>
              <w:jc w:val="center"/>
              <w:rPr>
                <w:rFonts w:ascii="Arial" w:hAnsi="Arial" w:cs="Arial"/>
                <w:color w:val="000000" w:themeColor="text1"/>
                <w:sz w:val="24"/>
                <w:szCs w:val="24"/>
              </w:rPr>
            </w:pPr>
            <w:r w:rsidRPr="00C062A1">
              <w:rPr>
                <w:rFonts w:ascii="Arial" w:hAnsi="Arial" w:cs="Arial"/>
                <w:color w:val="000000" w:themeColor="text1"/>
                <w:sz w:val="24"/>
                <w:szCs w:val="24"/>
              </w:rPr>
              <w:t>8,552</w:t>
            </w:r>
          </w:p>
        </w:tc>
      </w:tr>
    </w:tbl>
    <w:p w14:paraId="204E72D0" w14:textId="77777777" w:rsidR="00C74952" w:rsidRPr="00070B35" w:rsidRDefault="00C74952" w:rsidP="00C74952">
      <w:pPr>
        <w:tabs>
          <w:tab w:val="left" w:pos="993"/>
        </w:tabs>
        <w:spacing w:after="0" w:line="240" w:lineRule="auto"/>
        <w:rPr>
          <w:rFonts w:ascii="Arial" w:hAnsi="Arial" w:cs="Arial"/>
          <w:b/>
          <w:color w:val="FF0000"/>
        </w:rPr>
      </w:pPr>
    </w:p>
    <w:p w14:paraId="5330126D" w14:textId="77777777" w:rsidR="00C74952" w:rsidRPr="00C062A1" w:rsidRDefault="00C74952" w:rsidP="00C33FB2">
      <w:pPr>
        <w:pStyle w:val="ListParagraph"/>
        <w:numPr>
          <w:ilvl w:val="0"/>
          <w:numId w:val="25"/>
        </w:numPr>
        <w:spacing w:after="0" w:line="240" w:lineRule="auto"/>
        <w:ind w:left="567" w:hanging="567"/>
        <w:rPr>
          <w:rFonts w:ascii="Arial" w:hAnsi="Arial" w:cs="Arial"/>
          <w:b/>
          <w:sz w:val="28"/>
          <w:szCs w:val="28"/>
        </w:rPr>
      </w:pPr>
      <w:r w:rsidRPr="00C062A1">
        <w:rPr>
          <w:rFonts w:ascii="Arial" w:hAnsi="Arial" w:cs="Arial"/>
          <w:b/>
          <w:sz w:val="28"/>
          <w:szCs w:val="28"/>
        </w:rPr>
        <w:t>Tendering and contract activity</w:t>
      </w:r>
    </w:p>
    <w:p w14:paraId="763FB071" w14:textId="77777777" w:rsidR="00C74952" w:rsidRPr="00070B35" w:rsidRDefault="00C74952" w:rsidP="00C74952">
      <w:pPr>
        <w:spacing w:after="0" w:line="240" w:lineRule="auto"/>
        <w:rPr>
          <w:rFonts w:ascii="Arial" w:hAnsi="Arial" w:cs="Arial"/>
          <w:color w:val="FF0000"/>
          <w:highlight w:val="yellow"/>
        </w:rPr>
      </w:pPr>
    </w:p>
    <w:p w14:paraId="0460DEE2" w14:textId="77777777" w:rsidR="00C74952" w:rsidRPr="00C062A1" w:rsidRDefault="00C74952" w:rsidP="00C33FB2">
      <w:pPr>
        <w:pStyle w:val="ListParagraph"/>
        <w:numPr>
          <w:ilvl w:val="0"/>
          <w:numId w:val="26"/>
        </w:numPr>
        <w:spacing w:after="0" w:line="240" w:lineRule="auto"/>
        <w:ind w:left="709" w:hanging="709"/>
        <w:rPr>
          <w:rFonts w:ascii="Arial" w:hAnsi="Arial" w:cs="Arial"/>
          <w:b/>
          <w:sz w:val="24"/>
          <w:szCs w:val="24"/>
        </w:rPr>
      </w:pPr>
      <w:r w:rsidRPr="00C062A1">
        <w:rPr>
          <w:rFonts w:ascii="Arial" w:hAnsi="Arial" w:cs="Arial"/>
          <w:b/>
          <w:sz w:val="24"/>
          <w:szCs w:val="24"/>
        </w:rPr>
        <w:t>Over Official Journal of the European Union Threshold</w:t>
      </w:r>
    </w:p>
    <w:p w14:paraId="13533316" w14:textId="77777777" w:rsidR="00C74952" w:rsidRPr="00070B35" w:rsidRDefault="00C74952" w:rsidP="00C74952">
      <w:pPr>
        <w:spacing w:after="0" w:line="240" w:lineRule="auto"/>
        <w:rPr>
          <w:rFonts w:ascii="Arial" w:hAnsi="Arial" w:cs="Arial"/>
          <w:color w:val="FF0000"/>
          <w:highlight w:val="yellow"/>
        </w:rPr>
      </w:pPr>
    </w:p>
    <w:p w14:paraId="79DB8232" w14:textId="7A492F6F" w:rsidR="00C74952" w:rsidRPr="00C062A1" w:rsidRDefault="00C74952" w:rsidP="007500FC">
      <w:pPr>
        <w:spacing w:after="0" w:line="240" w:lineRule="auto"/>
        <w:jc w:val="both"/>
        <w:rPr>
          <w:rFonts w:ascii="Arial" w:hAnsi="Arial" w:cs="Arial"/>
          <w:sz w:val="24"/>
          <w:szCs w:val="24"/>
        </w:rPr>
      </w:pPr>
      <w:r w:rsidRPr="00C062A1">
        <w:rPr>
          <w:rFonts w:ascii="Arial" w:hAnsi="Arial" w:cs="Arial"/>
          <w:sz w:val="24"/>
          <w:szCs w:val="24"/>
        </w:rPr>
        <w:t>Four (4) Contract Notices were published in the Official Journal of the European Union (OJEU) in 2019/20.</w:t>
      </w:r>
    </w:p>
    <w:p w14:paraId="751EA2A2" w14:textId="77777777" w:rsidR="00C74952" w:rsidRPr="00070B35" w:rsidRDefault="00C74952" w:rsidP="00C74952">
      <w:pPr>
        <w:spacing w:after="0" w:line="240" w:lineRule="auto"/>
        <w:jc w:val="right"/>
        <w:rPr>
          <w:rFonts w:ascii="Arial" w:hAnsi="Arial" w:cs="Arial"/>
          <w:color w:val="FF0000"/>
          <w:highlight w:val="yellow"/>
        </w:rPr>
      </w:pPr>
    </w:p>
    <w:tbl>
      <w:tblPr>
        <w:tblStyle w:val="TableGrid"/>
        <w:tblW w:w="10490" w:type="dxa"/>
        <w:tblInd w:w="-5" w:type="dxa"/>
        <w:tblLook w:val="04A0" w:firstRow="1" w:lastRow="0" w:firstColumn="1" w:lastColumn="0" w:noHBand="0" w:noVBand="1"/>
      </w:tblPr>
      <w:tblGrid>
        <w:gridCol w:w="5670"/>
        <w:gridCol w:w="1276"/>
        <w:gridCol w:w="1559"/>
        <w:gridCol w:w="1985"/>
      </w:tblGrid>
      <w:tr w:rsidR="00C74952" w:rsidRPr="008C6150" w14:paraId="0E2B08BC" w14:textId="77777777" w:rsidTr="007500FC">
        <w:tc>
          <w:tcPr>
            <w:tcW w:w="5670" w:type="dxa"/>
            <w:shd w:val="clear" w:color="auto" w:fill="BFBFBF" w:themeFill="background1" w:themeFillShade="BF"/>
            <w:vAlign w:val="center"/>
          </w:tcPr>
          <w:p w14:paraId="33522567" w14:textId="77777777" w:rsidR="00C74952" w:rsidRPr="008C6150" w:rsidRDefault="00C74952" w:rsidP="008C6150">
            <w:pPr>
              <w:spacing w:after="0" w:line="240" w:lineRule="auto"/>
              <w:rPr>
                <w:rFonts w:ascii="Arial" w:hAnsi="Arial" w:cs="Arial"/>
                <w:b/>
                <w:sz w:val="24"/>
                <w:szCs w:val="24"/>
              </w:rPr>
            </w:pPr>
            <w:r w:rsidRPr="008C6150">
              <w:rPr>
                <w:rFonts w:ascii="Arial" w:hAnsi="Arial" w:cs="Arial"/>
                <w:b/>
                <w:sz w:val="24"/>
                <w:szCs w:val="24"/>
              </w:rPr>
              <w:t>Contract</w:t>
            </w:r>
          </w:p>
        </w:tc>
        <w:tc>
          <w:tcPr>
            <w:tcW w:w="1276" w:type="dxa"/>
            <w:shd w:val="clear" w:color="auto" w:fill="BFBFBF" w:themeFill="background1" w:themeFillShade="BF"/>
          </w:tcPr>
          <w:p w14:paraId="7171A054" w14:textId="77777777" w:rsidR="00C74952" w:rsidRPr="008C6150" w:rsidRDefault="00C74952" w:rsidP="002F24A3">
            <w:pPr>
              <w:spacing w:after="0" w:line="240" w:lineRule="auto"/>
              <w:jc w:val="center"/>
              <w:rPr>
                <w:rFonts w:ascii="Arial" w:hAnsi="Arial" w:cs="Arial"/>
                <w:b/>
                <w:sz w:val="24"/>
                <w:szCs w:val="24"/>
              </w:rPr>
            </w:pPr>
            <w:r w:rsidRPr="008C6150">
              <w:rPr>
                <w:rFonts w:ascii="Arial" w:hAnsi="Arial" w:cs="Arial"/>
                <w:b/>
                <w:sz w:val="24"/>
                <w:szCs w:val="24"/>
              </w:rPr>
              <w:t>Total term</w:t>
            </w:r>
          </w:p>
        </w:tc>
        <w:tc>
          <w:tcPr>
            <w:tcW w:w="1559" w:type="dxa"/>
            <w:shd w:val="clear" w:color="auto" w:fill="BFBFBF" w:themeFill="background1" w:themeFillShade="BF"/>
          </w:tcPr>
          <w:p w14:paraId="2F20B466" w14:textId="77777777" w:rsidR="00C74952" w:rsidRPr="008C6150" w:rsidRDefault="00C74952" w:rsidP="002F24A3">
            <w:pPr>
              <w:spacing w:after="0" w:line="240" w:lineRule="auto"/>
              <w:jc w:val="center"/>
              <w:rPr>
                <w:rFonts w:ascii="Arial" w:hAnsi="Arial" w:cs="Arial"/>
                <w:b/>
                <w:sz w:val="24"/>
                <w:szCs w:val="24"/>
              </w:rPr>
            </w:pPr>
            <w:r w:rsidRPr="008C6150">
              <w:rPr>
                <w:rFonts w:ascii="Arial" w:hAnsi="Arial" w:cs="Arial"/>
                <w:b/>
                <w:sz w:val="24"/>
                <w:szCs w:val="24"/>
              </w:rPr>
              <w:t>Value over term</w:t>
            </w:r>
          </w:p>
        </w:tc>
        <w:tc>
          <w:tcPr>
            <w:tcW w:w="1985" w:type="dxa"/>
            <w:shd w:val="clear" w:color="auto" w:fill="BFBFBF" w:themeFill="background1" w:themeFillShade="BF"/>
          </w:tcPr>
          <w:p w14:paraId="14B56687" w14:textId="77777777" w:rsidR="00C74952" w:rsidRPr="008C6150" w:rsidRDefault="00C74952" w:rsidP="002F24A3">
            <w:pPr>
              <w:spacing w:after="0" w:line="240" w:lineRule="auto"/>
              <w:jc w:val="center"/>
              <w:rPr>
                <w:rFonts w:ascii="Arial" w:hAnsi="Arial" w:cs="Arial"/>
                <w:b/>
                <w:sz w:val="24"/>
                <w:szCs w:val="24"/>
              </w:rPr>
            </w:pPr>
            <w:r w:rsidRPr="008C6150">
              <w:rPr>
                <w:rFonts w:ascii="Arial" w:hAnsi="Arial" w:cs="Arial"/>
                <w:b/>
                <w:sz w:val="24"/>
                <w:szCs w:val="24"/>
              </w:rPr>
              <w:t>Awarded</w:t>
            </w:r>
          </w:p>
        </w:tc>
      </w:tr>
      <w:tr w:rsidR="00C74952" w:rsidRPr="00C33FB2" w14:paraId="0D1C01E3" w14:textId="77777777" w:rsidTr="007500FC">
        <w:trPr>
          <w:trHeight w:val="255"/>
        </w:trPr>
        <w:tc>
          <w:tcPr>
            <w:tcW w:w="5670" w:type="dxa"/>
          </w:tcPr>
          <w:p w14:paraId="23FAD6E9" w14:textId="77777777" w:rsidR="00C74952" w:rsidRPr="00C33FB2" w:rsidRDefault="00C74952" w:rsidP="002F24A3">
            <w:pPr>
              <w:spacing w:after="0" w:line="240" w:lineRule="auto"/>
              <w:rPr>
                <w:rFonts w:ascii="Arial" w:hAnsi="Arial" w:cs="Arial"/>
                <w:sz w:val="24"/>
                <w:szCs w:val="24"/>
              </w:rPr>
            </w:pPr>
            <w:r w:rsidRPr="00C33FB2">
              <w:rPr>
                <w:rFonts w:ascii="Arial" w:hAnsi="Arial" w:cs="Arial"/>
                <w:sz w:val="24"/>
                <w:szCs w:val="24"/>
              </w:rPr>
              <w:t>Bathing Water VMS Signage</w:t>
            </w:r>
          </w:p>
        </w:tc>
        <w:tc>
          <w:tcPr>
            <w:tcW w:w="1276" w:type="dxa"/>
          </w:tcPr>
          <w:p w14:paraId="69136E7A" w14:textId="77777777" w:rsidR="00C74952" w:rsidRPr="00C33FB2" w:rsidRDefault="00C74952" w:rsidP="002F24A3">
            <w:pPr>
              <w:spacing w:after="0" w:line="240" w:lineRule="auto"/>
              <w:jc w:val="center"/>
              <w:rPr>
                <w:rFonts w:ascii="Arial" w:hAnsi="Arial" w:cs="Arial"/>
                <w:sz w:val="24"/>
                <w:szCs w:val="24"/>
              </w:rPr>
            </w:pPr>
            <w:r w:rsidRPr="00C33FB2">
              <w:rPr>
                <w:rFonts w:ascii="Arial" w:hAnsi="Arial" w:cs="Arial"/>
                <w:sz w:val="24"/>
                <w:szCs w:val="24"/>
              </w:rPr>
              <w:t>4 years</w:t>
            </w:r>
          </w:p>
        </w:tc>
        <w:tc>
          <w:tcPr>
            <w:tcW w:w="1559" w:type="dxa"/>
          </w:tcPr>
          <w:p w14:paraId="29822340" w14:textId="77777777" w:rsidR="00C74952" w:rsidRPr="00C33FB2" w:rsidRDefault="00C74952" w:rsidP="002F24A3">
            <w:pPr>
              <w:spacing w:after="0" w:line="240" w:lineRule="auto"/>
              <w:jc w:val="center"/>
              <w:rPr>
                <w:rFonts w:ascii="Arial" w:hAnsi="Arial" w:cs="Arial"/>
                <w:sz w:val="24"/>
                <w:szCs w:val="24"/>
              </w:rPr>
            </w:pPr>
            <w:r w:rsidRPr="00C33FB2">
              <w:rPr>
                <w:rFonts w:ascii="Arial" w:hAnsi="Arial" w:cs="Arial"/>
                <w:sz w:val="24"/>
                <w:szCs w:val="24"/>
              </w:rPr>
              <w:t>£373,786</w:t>
            </w:r>
          </w:p>
        </w:tc>
        <w:tc>
          <w:tcPr>
            <w:tcW w:w="1985" w:type="dxa"/>
          </w:tcPr>
          <w:p w14:paraId="008F1B6E" w14:textId="77777777" w:rsidR="00C74952" w:rsidRPr="00C33FB2" w:rsidRDefault="00C74952" w:rsidP="002F24A3">
            <w:pPr>
              <w:spacing w:after="0" w:line="240" w:lineRule="auto"/>
              <w:jc w:val="right"/>
              <w:rPr>
                <w:rFonts w:ascii="Arial" w:hAnsi="Arial" w:cs="Arial"/>
                <w:sz w:val="24"/>
                <w:szCs w:val="24"/>
              </w:rPr>
            </w:pPr>
            <w:r w:rsidRPr="00C33FB2">
              <w:rPr>
                <w:rFonts w:ascii="Arial" w:hAnsi="Arial" w:cs="Arial"/>
                <w:sz w:val="24"/>
                <w:szCs w:val="24"/>
              </w:rPr>
              <w:t>November 2019</w:t>
            </w:r>
          </w:p>
        </w:tc>
      </w:tr>
      <w:tr w:rsidR="00C74952" w:rsidRPr="00C33FB2" w14:paraId="2BE2DF84" w14:textId="77777777" w:rsidTr="007500FC">
        <w:trPr>
          <w:trHeight w:val="255"/>
        </w:trPr>
        <w:tc>
          <w:tcPr>
            <w:tcW w:w="5670" w:type="dxa"/>
          </w:tcPr>
          <w:p w14:paraId="06811A6A" w14:textId="77777777" w:rsidR="00C74952" w:rsidRPr="00C33FB2" w:rsidRDefault="00C74952" w:rsidP="002F24A3">
            <w:pPr>
              <w:spacing w:after="0" w:line="240" w:lineRule="auto"/>
              <w:rPr>
                <w:rFonts w:ascii="Arial" w:eastAsia="Times New Roman" w:hAnsi="Arial" w:cs="Arial"/>
                <w:sz w:val="24"/>
                <w:szCs w:val="24"/>
                <w:lang w:eastAsia="en-GB"/>
              </w:rPr>
            </w:pPr>
            <w:r w:rsidRPr="00C33FB2">
              <w:rPr>
                <w:rFonts w:ascii="Arial" w:eastAsia="Times New Roman" w:hAnsi="Arial" w:cs="Arial"/>
                <w:sz w:val="24"/>
                <w:szCs w:val="24"/>
                <w:lang w:eastAsia="en-GB"/>
              </w:rPr>
              <w:t>Legal Services Framework</w:t>
            </w:r>
          </w:p>
        </w:tc>
        <w:tc>
          <w:tcPr>
            <w:tcW w:w="1276" w:type="dxa"/>
          </w:tcPr>
          <w:p w14:paraId="21DF1549" w14:textId="77777777" w:rsidR="00C74952" w:rsidRPr="00C33FB2" w:rsidRDefault="00C74952" w:rsidP="002F24A3">
            <w:pPr>
              <w:spacing w:after="0" w:line="240" w:lineRule="auto"/>
              <w:jc w:val="center"/>
              <w:rPr>
                <w:rFonts w:ascii="Arial" w:hAnsi="Arial" w:cs="Arial"/>
                <w:sz w:val="24"/>
                <w:szCs w:val="24"/>
              </w:rPr>
            </w:pPr>
            <w:r w:rsidRPr="00C33FB2">
              <w:rPr>
                <w:rFonts w:ascii="Arial" w:hAnsi="Arial" w:cs="Arial"/>
                <w:sz w:val="24"/>
                <w:szCs w:val="24"/>
              </w:rPr>
              <w:t>4 years</w:t>
            </w:r>
          </w:p>
        </w:tc>
        <w:tc>
          <w:tcPr>
            <w:tcW w:w="1559" w:type="dxa"/>
          </w:tcPr>
          <w:p w14:paraId="06405944" w14:textId="77777777" w:rsidR="00C74952" w:rsidRPr="00C33FB2" w:rsidRDefault="00C74952" w:rsidP="002F24A3">
            <w:pPr>
              <w:spacing w:after="0" w:line="240" w:lineRule="auto"/>
              <w:jc w:val="center"/>
              <w:rPr>
                <w:rFonts w:ascii="Arial" w:hAnsi="Arial" w:cs="Arial"/>
                <w:sz w:val="24"/>
                <w:szCs w:val="24"/>
              </w:rPr>
            </w:pPr>
            <w:r w:rsidRPr="00C33FB2">
              <w:rPr>
                <w:rFonts w:ascii="Arial" w:hAnsi="Arial" w:cs="Arial"/>
                <w:sz w:val="24"/>
                <w:szCs w:val="24"/>
              </w:rPr>
              <w:t>£600,000</w:t>
            </w:r>
          </w:p>
        </w:tc>
        <w:tc>
          <w:tcPr>
            <w:tcW w:w="1985" w:type="dxa"/>
          </w:tcPr>
          <w:p w14:paraId="6DAD4953" w14:textId="77777777" w:rsidR="00C74952" w:rsidRPr="00C33FB2" w:rsidRDefault="00C74952" w:rsidP="002F24A3">
            <w:pPr>
              <w:spacing w:after="0" w:line="240" w:lineRule="auto"/>
              <w:jc w:val="right"/>
              <w:rPr>
                <w:rFonts w:ascii="Arial" w:hAnsi="Arial" w:cs="Arial"/>
                <w:sz w:val="24"/>
                <w:szCs w:val="24"/>
              </w:rPr>
            </w:pPr>
            <w:r w:rsidRPr="00C33FB2">
              <w:rPr>
                <w:rFonts w:ascii="Arial" w:hAnsi="Arial" w:cs="Arial"/>
                <w:sz w:val="24"/>
                <w:szCs w:val="24"/>
              </w:rPr>
              <w:t>November 2019</w:t>
            </w:r>
          </w:p>
        </w:tc>
      </w:tr>
      <w:tr w:rsidR="00C74952" w:rsidRPr="00C33FB2" w14:paraId="1C612AB6" w14:textId="77777777" w:rsidTr="007500FC">
        <w:trPr>
          <w:trHeight w:val="255"/>
        </w:trPr>
        <w:tc>
          <w:tcPr>
            <w:tcW w:w="5670" w:type="dxa"/>
          </w:tcPr>
          <w:p w14:paraId="39A58B78" w14:textId="77777777" w:rsidR="00C74952" w:rsidRPr="00C33FB2" w:rsidRDefault="00C74952" w:rsidP="002F24A3">
            <w:pPr>
              <w:spacing w:after="0" w:line="240" w:lineRule="auto"/>
              <w:rPr>
                <w:rFonts w:ascii="Arial" w:eastAsia="Times New Roman" w:hAnsi="Arial" w:cs="Arial"/>
                <w:sz w:val="24"/>
                <w:szCs w:val="24"/>
                <w:lang w:eastAsia="en-GB"/>
              </w:rPr>
            </w:pPr>
            <w:r w:rsidRPr="00C33FB2">
              <w:rPr>
                <w:rFonts w:ascii="Arial" w:eastAsia="Times New Roman" w:hAnsi="Arial" w:cs="Arial"/>
                <w:sz w:val="24"/>
                <w:szCs w:val="24"/>
                <w:lang w:eastAsia="en-GB"/>
              </w:rPr>
              <w:t>Habits Surveys</w:t>
            </w:r>
          </w:p>
        </w:tc>
        <w:tc>
          <w:tcPr>
            <w:tcW w:w="1276" w:type="dxa"/>
          </w:tcPr>
          <w:p w14:paraId="1EE43D22" w14:textId="77777777" w:rsidR="00C74952" w:rsidRPr="00C33FB2" w:rsidRDefault="00C74952" w:rsidP="002F24A3">
            <w:pPr>
              <w:spacing w:after="0" w:line="240" w:lineRule="auto"/>
              <w:jc w:val="center"/>
              <w:rPr>
                <w:rFonts w:ascii="Arial" w:hAnsi="Arial" w:cs="Arial"/>
                <w:sz w:val="24"/>
                <w:szCs w:val="24"/>
              </w:rPr>
            </w:pPr>
            <w:r w:rsidRPr="00C33FB2">
              <w:rPr>
                <w:rFonts w:ascii="Arial" w:hAnsi="Arial" w:cs="Arial"/>
                <w:sz w:val="24"/>
                <w:szCs w:val="24"/>
              </w:rPr>
              <w:t>4 years</w:t>
            </w:r>
          </w:p>
        </w:tc>
        <w:tc>
          <w:tcPr>
            <w:tcW w:w="1559" w:type="dxa"/>
          </w:tcPr>
          <w:p w14:paraId="350A0038" w14:textId="77777777" w:rsidR="00C74952" w:rsidRPr="00C33FB2" w:rsidRDefault="00C74952" w:rsidP="002F24A3">
            <w:pPr>
              <w:spacing w:after="0" w:line="240" w:lineRule="auto"/>
              <w:jc w:val="center"/>
              <w:rPr>
                <w:rFonts w:ascii="Arial" w:hAnsi="Arial" w:cs="Arial"/>
                <w:sz w:val="24"/>
                <w:szCs w:val="24"/>
              </w:rPr>
            </w:pPr>
            <w:r w:rsidRPr="00C33FB2">
              <w:rPr>
                <w:rFonts w:ascii="Arial" w:hAnsi="Arial" w:cs="Arial"/>
                <w:sz w:val="24"/>
                <w:szCs w:val="24"/>
              </w:rPr>
              <w:t>£390,990</w:t>
            </w:r>
          </w:p>
        </w:tc>
        <w:tc>
          <w:tcPr>
            <w:tcW w:w="1985" w:type="dxa"/>
          </w:tcPr>
          <w:p w14:paraId="5BB72707" w14:textId="77777777" w:rsidR="00C74952" w:rsidRPr="00C33FB2" w:rsidRDefault="00C74952" w:rsidP="002F24A3">
            <w:pPr>
              <w:spacing w:after="0" w:line="240" w:lineRule="auto"/>
              <w:jc w:val="right"/>
              <w:rPr>
                <w:rFonts w:ascii="Arial" w:hAnsi="Arial" w:cs="Arial"/>
                <w:sz w:val="24"/>
                <w:szCs w:val="24"/>
              </w:rPr>
            </w:pPr>
            <w:r w:rsidRPr="00C33FB2">
              <w:rPr>
                <w:rFonts w:ascii="Arial" w:hAnsi="Arial" w:cs="Arial"/>
                <w:sz w:val="24"/>
                <w:szCs w:val="24"/>
              </w:rPr>
              <w:t>February 2020</w:t>
            </w:r>
          </w:p>
        </w:tc>
      </w:tr>
      <w:tr w:rsidR="00C74952" w:rsidRPr="00C33FB2" w14:paraId="359D5B1C" w14:textId="77777777" w:rsidTr="007500FC">
        <w:trPr>
          <w:trHeight w:val="255"/>
        </w:trPr>
        <w:tc>
          <w:tcPr>
            <w:tcW w:w="5670" w:type="dxa"/>
          </w:tcPr>
          <w:p w14:paraId="56B0428F" w14:textId="77777777" w:rsidR="00C74952" w:rsidRPr="00C33FB2" w:rsidRDefault="00C74952" w:rsidP="002F24A3">
            <w:pPr>
              <w:spacing w:after="0" w:line="240" w:lineRule="auto"/>
              <w:rPr>
                <w:rFonts w:ascii="Arial" w:eastAsia="Times New Roman" w:hAnsi="Arial" w:cs="Arial"/>
                <w:sz w:val="24"/>
                <w:szCs w:val="24"/>
                <w:lang w:eastAsia="en-GB"/>
              </w:rPr>
            </w:pPr>
            <w:r w:rsidRPr="00C33FB2">
              <w:rPr>
                <w:rFonts w:ascii="Arial" w:eastAsia="Times New Roman" w:hAnsi="Arial" w:cs="Arial"/>
                <w:sz w:val="24"/>
                <w:szCs w:val="24"/>
                <w:lang w:eastAsia="en-GB"/>
              </w:rPr>
              <w:t>Outstation, Shaft Encoder Replacement Framework</w:t>
            </w:r>
          </w:p>
        </w:tc>
        <w:tc>
          <w:tcPr>
            <w:tcW w:w="1276" w:type="dxa"/>
          </w:tcPr>
          <w:p w14:paraId="42F65BDD" w14:textId="77777777" w:rsidR="00C74952" w:rsidRPr="00C33FB2" w:rsidRDefault="00C74952" w:rsidP="002F24A3">
            <w:pPr>
              <w:spacing w:after="0" w:line="240" w:lineRule="auto"/>
              <w:jc w:val="center"/>
              <w:rPr>
                <w:rFonts w:ascii="Arial" w:hAnsi="Arial" w:cs="Arial"/>
                <w:sz w:val="24"/>
                <w:szCs w:val="24"/>
              </w:rPr>
            </w:pPr>
            <w:r w:rsidRPr="00C33FB2">
              <w:rPr>
                <w:rFonts w:ascii="Arial" w:hAnsi="Arial" w:cs="Arial"/>
                <w:sz w:val="24"/>
                <w:szCs w:val="24"/>
              </w:rPr>
              <w:t>4 years</w:t>
            </w:r>
          </w:p>
        </w:tc>
        <w:tc>
          <w:tcPr>
            <w:tcW w:w="1559" w:type="dxa"/>
          </w:tcPr>
          <w:p w14:paraId="002F070E" w14:textId="77777777" w:rsidR="00C74952" w:rsidRPr="00C33FB2" w:rsidRDefault="00C74952" w:rsidP="002F24A3">
            <w:pPr>
              <w:spacing w:after="0" w:line="240" w:lineRule="auto"/>
              <w:jc w:val="center"/>
              <w:rPr>
                <w:rFonts w:ascii="Arial" w:hAnsi="Arial" w:cs="Arial"/>
                <w:sz w:val="24"/>
                <w:szCs w:val="24"/>
              </w:rPr>
            </w:pPr>
            <w:r w:rsidRPr="00C33FB2">
              <w:rPr>
                <w:rFonts w:ascii="Arial" w:hAnsi="Arial" w:cs="Arial"/>
                <w:sz w:val="24"/>
                <w:szCs w:val="24"/>
              </w:rPr>
              <w:t>£611,330</w:t>
            </w:r>
          </w:p>
        </w:tc>
        <w:tc>
          <w:tcPr>
            <w:tcW w:w="1985" w:type="dxa"/>
          </w:tcPr>
          <w:p w14:paraId="272E486E" w14:textId="77777777" w:rsidR="00C74952" w:rsidRPr="00C33FB2" w:rsidRDefault="00C74952" w:rsidP="002F24A3">
            <w:pPr>
              <w:spacing w:after="0" w:line="240" w:lineRule="auto"/>
              <w:jc w:val="right"/>
              <w:rPr>
                <w:rFonts w:ascii="Arial" w:hAnsi="Arial" w:cs="Arial"/>
                <w:sz w:val="24"/>
                <w:szCs w:val="24"/>
              </w:rPr>
            </w:pPr>
            <w:r w:rsidRPr="00C33FB2">
              <w:rPr>
                <w:rFonts w:ascii="Arial" w:hAnsi="Arial" w:cs="Arial"/>
                <w:sz w:val="24"/>
                <w:szCs w:val="24"/>
              </w:rPr>
              <w:t>February 2020</w:t>
            </w:r>
          </w:p>
        </w:tc>
      </w:tr>
    </w:tbl>
    <w:p w14:paraId="70BD1D68" w14:textId="77777777" w:rsidR="00C74952" w:rsidRDefault="00C74952" w:rsidP="00C74952">
      <w:pPr>
        <w:spacing w:after="0" w:line="240" w:lineRule="auto"/>
        <w:rPr>
          <w:rFonts w:ascii="Arial" w:hAnsi="Arial" w:cs="Arial"/>
          <w:color w:val="FF0000"/>
          <w:highlight w:val="yellow"/>
        </w:rPr>
      </w:pPr>
    </w:p>
    <w:p w14:paraId="221E0FA0" w14:textId="77777777" w:rsidR="00C74952" w:rsidRDefault="00C74952" w:rsidP="00C74952">
      <w:pPr>
        <w:spacing w:after="0" w:line="240" w:lineRule="auto"/>
        <w:rPr>
          <w:rFonts w:ascii="Arial" w:hAnsi="Arial" w:cs="Arial"/>
          <w:color w:val="FF0000"/>
          <w:highlight w:val="yellow"/>
        </w:rPr>
      </w:pPr>
    </w:p>
    <w:p w14:paraId="764A35E1" w14:textId="77777777" w:rsidR="00C74952" w:rsidRDefault="00C74952" w:rsidP="00C74952">
      <w:pPr>
        <w:spacing w:after="0" w:line="240" w:lineRule="auto"/>
        <w:rPr>
          <w:rFonts w:ascii="Arial" w:hAnsi="Arial" w:cs="Arial"/>
          <w:b/>
        </w:rPr>
      </w:pPr>
      <w:r>
        <w:rPr>
          <w:rFonts w:ascii="Arial" w:hAnsi="Arial" w:cs="Arial"/>
          <w:b/>
        </w:rPr>
        <w:br w:type="page"/>
      </w:r>
    </w:p>
    <w:p w14:paraId="1801E0E4" w14:textId="77777777" w:rsidR="00C74952" w:rsidRPr="005806E9" w:rsidRDefault="00C74952" w:rsidP="00C74952">
      <w:pPr>
        <w:pStyle w:val="ListParagraph"/>
        <w:numPr>
          <w:ilvl w:val="2"/>
          <w:numId w:val="24"/>
        </w:numPr>
        <w:spacing w:after="0" w:line="240" w:lineRule="auto"/>
        <w:ind w:left="709" w:hanging="709"/>
        <w:rPr>
          <w:rFonts w:ascii="Arial" w:hAnsi="Arial" w:cs="Arial"/>
          <w:b/>
          <w:sz w:val="24"/>
          <w:szCs w:val="24"/>
        </w:rPr>
      </w:pPr>
      <w:r w:rsidRPr="005806E9">
        <w:rPr>
          <w:rFonts w:ascii="Arial" w:hAnsi="Arial" w:cs="Arial"/>
          <w:b/>
          <w:sz w:val="24"/>
          <w:szCs w:val="24"/>
        </w:rPr>
        <w:lastRenderedPageBreak/>
        <w:t>Non-competitive actions</w:t>
      </w:r>
    </w:p>
    <w:p w14:paraId="1B1D50E3" w14:textId="77777777" w:rsidR="00C74952" w:rsidRPr="00070B35" w:rsidRDefault="00C74952" w:rsidP="00C74952">
      <w:pPr>
        <w:spacing w:after="0"/>
        <w:rPr>
          <w:rFonts w:ascii="Arial" w:hAnsi="Arial" w:cs="Arial"/>
          <w:b/>
          <w:color w:val="FF0000"/>
          <w:highlight w:val="yellow"/>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659"/>
        <w:gridCol w:w="1892"/>
        <w:gridCol w:w="759"/>
        <w:gridCol w:w="1793"/>
        <w:gridCol w:w="659"/>
        <w:gridCol w:w="1892"/>
      </w:tblGrid>
      <w:tr w:rsidR="00C74952" w:rsidRPr="005806E9" w14:paraId="3B44BC03" w14:textId="77777777" w:rsidTr="005806E9">
        <w:trPr>
          <w:trHeight w:val="228"/>
        </w:trPr>
        <w:tc>
          <w:tcPr>
            <w:tcW w:w="2689" w:type="dxa"/>
            <w:vMerge w:val="restart"/>
            <w:shd w:val="clear" w:color="auto" w:fill="D9D9D9" w:themeFill="background1" w:themeFillShade="D9"/>
            <w:vAlign w:val="center"/>
          </w:tcPr>
          <w:p w14:paraId="4EB4E7EF" w14:textId="77777777" w:rsidR="00C74952" w:rsidRPr="005806E9" w:rsidRDefault="00C74952" w:rsidP="002F24A3">
            <w:pPr>
              <w:spacing w:after="0" w:line="240" w:lineRule="auto"/>
              <w:rPr>
                <w:rFonts w:ascii="Arial" w:hAnsi="Arial" w:cs="Arial"/>
                <w:b/>
                <w:sz w:val="24"/>
                <w:szCs w:val="24"/>
              </w:rPr>
            </w:pPr>
            <w:r w:rsidRPr="005806E9">
              <w:rPr>
                <w:rFonts w:ascii="Arial" w:hAnsi="Arial" w:cs="Arial"/>
                <w:b/>
                <w:sz w:val="24"/>
                <w:szCs w:val="24"/>
              </w:rPr>
              <w:t>Threshold</w:t>
            </w:r>
          </w:p>
        </w:tc>
        <w:tc>
          <w:tcPr>
            <w:tcW w:w="2551" w:type="dxa"/>
            <w:gridSpan w:val="2"/>
            <w:shd w:val="clear" w:color="auto" w:fill="D9D9D9" w:themeFill="background1" w:themeFillShade="D9"/>
          </w:tcPr>
          <w:p w14:paraId="0D32A301" w14:textId="77777777" w:rsidR="00C74952" w:rsidRPr="005806E9" w:rsidRDefault="00C74952" w:rsidP="002F24A3">
            <w:pPr>
              <w:spacing w:after="0" w:line="240" w:lineRule="auto"/>
              <w:jc w:val="center"/>
              <w:rPr>
                <w:rFonts w:ascii="Arial" w:hAnsi="Arial" w:cs="Arial"/>
                <w:b/>
                <w:color w:val="FF0000"/>
                <w:sz w:val="24"/>
                <w:szCs w:val="24"/>
              </w:rPr>
            </w:pPr>
            <w:r w:rsidRPr="005806E9">
              <w:rPr>
                <w:rFonts w:ascii="Arial" w:hAnsi="Arial" w:cs="Arial"/>
                <w:b/>
                <w:sz w:val="24"/>
                <w:szCs w:val="24"/>
              </w:rPr>
              <w:t>FY2019/20</w:t>
            </w:r>
          </w:p>
        </w:tc>
        <w:tc>
          <w:tcPr>
            <w:tcW w:w="2552" w:type="dxa"/>
            <w:gridSpan w:val="2"/>
            <w:shd w:val="clear" w:color="auto" w:fill="D9D9D9" w:themeFill="background1" w:themeFillShade="D9"/>
          </w:tcPr>
          <w:p w14:paraId="6AA41568" w14:textId="77777777" w:rsidR="00C74952" w:rsidRPr="005806E9" w:rsidRDefault="00C74952" w:rsidP="002F24A3">
            <w:pPr>
              <w:spacing w:after="0" w:line="240" w:lineRule="auto"/>
              <w:jc w:val="center"/>
              <w:rPr>
                <w:rFonts w:ascii="Arial" w:hAnsi="Arial" w:cs="Arial"/>
                <w:b/>
                <w:sz w:val="24"/>
                <w:szCs w:val="24"/>
              </w:rPr>
            </w:pPr>
            <w:r w:rsidRPr="005806E9">
              <w:rPr>
                <w:rFonts w:ascii="Arial" w:hAnsi="Arial" w:cs="Arial"/>
                <w:b/>
                <w:sz w:val="24"/>
                <w:szCs w:val="24"/>
              </w:rPr>
              <w:t>FY 2018/19</w:t>
            </w:r>
          </w:p>
        </w:tc>
        <w:tc>
          <w:tcPr>
            <w:tcW w:w="2551" w:type="dxa"/>
            <w:gridSpan w:val="2"/>
            <w:shd w:val="clear" w:color="auto" w:fill="D9D9D9" w:themeFill="background1" w:themeFillShade="D9"/>
          </w:tcPr>
          <w:p w14:paraId="33D631E4" w14:textId="77777777" w:rsidR="00C74952" w:rsidRPr="005806E9" w:rsidRDefault="00C74952" w:rsidP="002F24A3">
            <w:pPr>
              <w:spacing w:after="0" w:line="240" w:lineRule="auto"/>
              <w:jc w:val="center"/>
              <w:rPr>
                <w:rFonts w:ascii="Arial" w:hAnsi="Arial" w:cs="Arial"/>
                <w:b/>
                <w:sz w:val="24"/>
                <w:szCs w:val="24"/>
              </w:rPr>
            </w:pPr>
            <w:r w:rsidRPr="005806E9">
              <w:rPr>
                <w:rFonts w:ascii="Arial" w:hAnsi="Arial" w:cs="Arial"/>
                <w:b/>
                <w:sz w:val="24"/>
                <w:szCs w:val="24"/>
              </w:rPr>
              <w:t>FY 2017/18</w:t>
            </w:r>
          </w:p>
        </w:tc>
      </w:tr>
      <w:tr w:rsidR="00C74952" w:rsidRPr="00070B35" w14:paraId="647234A2" w14:textId="77777777" w:rsidTr="005806E9">
        <w:trPr>
          <w:trHeight w:val="228"/>
        </w:trPr>
        <w:tc>
          <w:tcPr>
            <w:tcW w:w="2689" w:type="dxa"/>
            <w:vMerge/>
            <w:shd w:val="clear" w:color="auto" w:fill="D9D9D9" w:themeFill="background1" w:themeFillShade="D9"/>
            <w:vAlign w:val="center"/>
          </w:tcPr>
          <w:p w14:paraId="56EDA42B" w14:textId="77777777" w:rsidR="00C74952" w:rsidRPr="001D7752" w:rsidRDefault="00C74952" w:rsidP="002F24A3">
            <w:pPr>
              <w:spacing w:after="0" w:line="240" w:lineRule="auto"/>
              <w:rPr>
                <w:rFonts w:ascii="Arial" w:hAnsi="Arial" w:cs="Arial"/>
                <w:b/>
              </w:rPr>
            </w:pPr>
          </w:p>
        </w:tc>
        <w:tc>
          <w:tcPr>
            <w:tcW w:w="659" w:type="dxa"/>
            <w:shd w:val="clear" w:color="auto" w:fill="D9D9D9" w:themeFill="background1" w:themeFillShade="D9"/>
          </w:tcPr>
          <w:p w14:paraId="75BFE0BB" w14:textId="77777777" w:rsidR="00C74952" w:rsidRPr="005806E9" w:rsidRDefault="00C74952" w:rsidP="002F24A3">
            <w:pPr>
              <w:spacing w:after="0" w:line="240" w:lineRule="auto"/>
              <w:jc w:val="center"/>
              <w:rPr>
                <w:rFonts w:ascii="Arial" w:hAnsi="Arial" w:cs="Arial"/>
                <w:b/>
                <w:sz w:val="24"/>
                <w:szCs w:val="24"/>
              </w:rPr>
            </w:pPr>
            <w:r w:rsidRPr="005806E9">
              <w:rPr>
                <w:rFonts w:ascii="Arial" w:hAnsi="Arial" w:cs="Arial"/>
                <w:b/>
                <w:sz w:val="24"/>
                <w:szCs w:val="24"/>
              </w:rPr>
              <w:t>Qty</w:t>
            </w:r>
          </w:p>
        </w:tc>
        <w:tc>
          <w:tcPr>
            <w:tcW w:w="1892" w:type="dxa"/>
            <w:shd w:val="clear" w:color="auto" w:fill="D9D9D9" w:themeFill="background1" w:themeFillShade="D9"/>
          </w:tcPr>
          <w:p w14:paraId="5D1D6157" w14:textId="77777777" w:rsidR="00C74952" w:rsidRPr="005806E9" w:rsidRDefault="00C74952" w:rsidP="002F24A3">
            <w:pPr>
              <w:spacing w:after="0" w:line="240" w:lineRule="auto"/>
              <w:jc w:val="center"/>
              <w:rPr>
                <w:rFonts w:ascii="Arial" w:hAnsi="Arial" w:cs="Arial"/>
                <w:b/>
                <w:sz w:val="24"/>
                <w:szCs w:val="24"/>
              </w:rPr>
            </w:pPr>
            <w:r w:rsidRPr="005806E9">
              <w:rPr>
                <w:rFonts w:ascii="Arial" w:hAnsi="Arial" w:cs="Arial"/>
                <w:b/>
                <w:sz w:val="24"/>
                <w:szCs w:val="24"/>
              </w:rPr>
              <w:t>Value</w:t>
            </w:r>
          </w:p>
        </w:tc>
        <w:tc>
          <w:tcPr>
            <w:tcW w:w="759" w:type="dxa"/>
            <w:shd w:val="clear" w:color="auto" w:fill="D9D9D9" w:themeFill="background1" w:themeFillShade="D9"/>
          </w:tcPr>
          <w:p w14:paraId="4B2C26BD" w14:textId="77777777" w:rsidR="00C74952" w:rsidRPr="005806E9" w:rsidRDefault="00C74952" w:rsidP="002F24A3">
            <w:pPr>
              <w:spacing w:after="0" w:line="240" w:lineRule="auto"/>
              <w:jc w:val="center"/>
              <w:rPr>
                <w:rFonts w:ascii="Arial" w:hAnsi="Arial" w:cs="Arial"/>
                <w:b/>
                <w:sz w:val="24"/>
                <w:szCs w:val="24"/>
              </w:rPr>
            </w:pPr>
            <w:r w:rsidRPr="005806E9">
              <w:rPr>
                <w:rFonts w:ascii="Arial" w:hAnsi="Arial" w:cs="Arial"/>
                <w:b/>
                <w:sz w:val="24"/>
                <w:szCs w:val="24"/>
              </w:rPr>
              <w:t>Qty</w:t>
            </w:r>
          </w:p>
        </w:tc>
        <w:tc>
          <w:tcPr>
            <w:tcW w:w="1793" w:type="dxa"/>
            <w:shd w:val="clear" w:color="auto" w:fill="D9D9D9" w:themeFill="background1" w:themeFillShade="D9"/>
          </w:tcPr>
          <w:p w14:paraId="77D6FC38" w14:textId="77777777" w:rsidR="00C74952" w:rsidRPr="005806E9" w:rsidRDefault="00C74952" w:rsidP="002F24A3">
            <w:pPr>
              <w:spacing w:after="0" w:line="240" w:lineRule="auto"/>
              <w:jc w:val="center"/>
              <w:rPr>
                <w:rFonts w:ascii="Arial" w:hAnsi="Arial" w:cs="Arial"/>
                <w:b/>
                <w:sz w:val="24"/>
                <w:szCs w:val="24"/>
              </w:rPr>
            </w:pPr>
            <w:r w:rsidRPr="005806E9">
              <w:rPr>
                <w:rFonts w:ascii="Arial" w:hAnsi="Arial" w:cs="Arial"/>
                <w:b/>
                <w:sz w:val="24"/>
                <w:szCs w:val="24"/>
              </w:rPr>
              <w:t>Value</w:t>
            </w:r>
          </w:p>
        </w:tc>
        <w:tc>
          <w:tcPr>
            <w:tcW w:w="659" w:type="dxa"/>
            <w:shd w:val="clear" w:color="auto" w:fill="D9D9D9" w:themeFill="background1" w:themeFillShade="D9"/>
          </w:tcPr>
          <w:p w14:paraId="0D96EF33" w14:textId="77777777" w:rsidR="00C74952" w:rsidRPr="005806E9" w:rsidRDefault="00C74952" w:rsidP="002F24A3">
            <w:pPr>
              <w:spacing w:after="0" w:line="240" w:lineRule="auto"/>
              <w:jc w:val="center"/>
              <w:rPr>
                <w:rFonts w:ascii="Arial" w:hAnsi="Arial" w:cs="Arial"/>
                <w:b/>
                <w:sz w:val="24"/>
                <w:szCs w:val="24"/>
              </w:rPr>
            </w:pPr>
            <w:r w:rsidRPr="005806E9">
              <w:rPr>
                <w:rFonts w:ascii="Arial" w:hAnsi="Arial" w:cs="Arial"/>
                <w:b/>
                <w:sz w:val="24"/>
                <w:szCs w:val="24"/>
              </w:rPr>
              <w:t>Qty</w:t>
            </w:r>
          </w:p>
        </w:tc>
        <w:tc>
          <w:tcPr>
            <w:tcW w:w="1892" w:type="dxa"/>
            <w:shd w:val="clear" w:color="auto" w:fill="D9D9D9" w:themeFill="background1" w:themeFillShade="D9"/>
          </w:tcPr>
          <w:p w14:paraId="72633EEE" w14:textId="77777777" w:rsidR="00C74952" w:rsidRPr="005806E9" w:rsidRDefault="00C74952" w:rsidP="002F24A3">
            <w:pPr>
              <w:spacing w:after="0" w:line="240" w:lineRule="auto"/>
              <w:jc w:val="center"/>
              <w:rPr>
                <w:rFonts w:ascii="Arial" w:hAnsi="Arial" w:cs="Arial"/>
                <w:b/>
                <w:sz w:val="24"/>
                <w:szCs w:val="24"/>
              </w:rPr>
            </w:pPr>
            <w:r w:rsidRPr="005806E9">
              <w:rPr>
                <w:rFonts w:ascii="Arial" w:hAnsi="Arial" w:cs="Arial"/>
                <w:b/>
                <w:sz w:val="24"/>
                <w:szCs w:val="24"/>
              </w:rPr>
              <w:t>Value</w:t>
            </w:r>
          </w:p>
        </w:tc>
      </w:tr>
      <w:tr w:rsidR="00C74952" w:rsidRPr="005806E9" w14:paraId="05E419F1" w14:textId="77777777" w:rsidTr="005806E9">
        <w:tc>
          <w:tcPr>
            <w:tcW w:w="2689" w:type="dxa"/>
          </w:tcPr>
          <w:p w14:paraId="0C5A1494" w14:textId="77777777" w:rsidR="00C74952" w:rsidRPr="005806E9" w:rsidRDefault="00C74952" w:rsidP="002F24A3">
            <w:pPr>
              <w:spacing w:after="0" w:line="240" w:lineRule="auto"/>
              <w:rPr>
                <w:rFonts w:ascii="Arial" w:hAnsi="Arial" w:cs="Arial"/>
                <w:sz w:val="24"/>
                <w:szCs w:val="24"/>
              </w:rPr>
            </w:pPr>
            <w:r w:rsidRPr="005806E9">
              <w:rPr>
                <w:rFonts w:ascii="Arial" w:hAnsi="Arial" w:cs="Arial"/>
                <w:sz w:val="24"/>
                <w:szCs w:val="24"/>
              </w:rPr>
              <w:t>£5,000 - £20,833</w:t>
            </w:r>
          </w:p>
        </w:tc>
        <w:tc>
          <w:tcPr>
            <w:tcW w:w="659" w:type="dxa"/>
          </w:tcPr>
          <w:p w14:paraId="76D4308D" w14:textId="77777777" w:rsidR="00C74952" w:rsidRPr="005806E9" w:rsidRDefault="00C74952" w:rsidP="002F24A3">
            <w:pPr>
              <w:spacing w:after="0" w:line="240" w:lineRule="auto"/>
              <w:jc w:val="center"/>
              <w:rPr>
                <w:rFonts w:ascii="Arial" w:hAnsi="Arial" w:cs="Arial"/>
                <w:sz w:val="24"/>
                <w:szCs w:val="24"/>
              </w:rPr>
            </w:pPr>
            <w:r w:rsidRPr="005806E9">
              <w:rPr>
                <w:rFonts w:ascii="Arial" w:hAnsi="Arial" w:cs="Arial"/>
                <w:sz w:val="24"/>
                <w:szCs w:val="24"/>
              </w:rPr>
              <w:t>46</w:t>
            </w:r>
          </w:p>
        </w:tc>
        <w:tc>
          <w:tcPr>
            <w:tcW w:w="1892" w:type="dxa"/>
          </w:tcPr>
          <w:p w14:paraId="455799AB" w14:textId="77777777" w:rsidR="00C74952" w:rsidRPr="005806E9" w:rsidRDefault="00C74952" w:rsidP="002F24A3">
            <w:pPr>
              <w:spacing w:after="0" w:line="240" w:lineRule="auto"/>
              <w:jc w:val="center"/>
              <w:rPr>
                <w:rFonts w:ascii="Arial" w:hAnsi="Arial" w:cs="Arial"/>
                <w:sz w:val="24"/>
                <w:szCs w:val="24"/>
              </w:rPr>
            </w:pPr>
            <w:r w:rsidRPr="005806E9">
              <w:rPr>
                <w:rFonts w:ascii="Arial" w:hAnsi="Arial" w:cs="Arial"/>
                <w:sz w:val="24"/>
                <w:szCs w:val="24"/>
              </w:rPr>
              <w:t>£493,956</w:t>
            </w:r>
          </w:p>
        </w:tc>
        <w:tc>
          <w:tcPr>
            <w:tcW w:w="759" w:type="dxa"/>
          </w:tcPr>
          <w:p w14:paraId="4CAF061E" w14:textId="77777777" w:rsidR="00C74952" w:rsidRPr="005806E9" w:rsidRDefault="00C74952" w:rsidP="002F24A3">
            <w:pPr>
              <w:spacing w:after="0" w:line="240" w:lineRule="auto"/>
              <w:jc w:val="center"/>
              <w:rPr>
                <w:rFonts w:ascii="Arial" w:hAnsi="Arial" w:cs="Arial"/>
                <w:sz w:val="24"/>
                <w:szCs w:val="24"/>
              </w:rPr>
            </w:pPr>
            <w:r w:rsidRPr="005806E9">
              <w:rPr>
                <w:rFonts w:ascii="Arial" w:hAnsi="Arial" w:cs="Arial"/>
                <w:sz w:val="24"/>
                <w:szCs w:val="24"/>
              </w:rPr>
              <w:t>60</w:t>
            </w:r>
          </w:p>
        </w:tc>
        <w:tc>
          <w:tcPr>
            <w:tcW w:w="1793" w:type="dxa"/>
          </w:tcPr>
          <w:p w14:paraId="718A944C" w14:textId="77777777" w:rsidR="00C74952" w:rsidRPr="005806E9" w:rsidRDefault="00C74952" w:rsidP="002F24A3">
            <w:pPr>
              <w:spacing w:after="0" w:line="240" w:lineRule="auto"/>
              <w:jc w:val="center"/>
              <w:rPr>
                <w:rFonts w:ascii="Arial" w:hAnsi="Arial" w:cs="Arial"/>
                <w:sz w:val="24"/>
                <w:szCs w:val="24"/>
              </w:rPr>
            </w:pPr>
            <w:r w:rsidRPr="005806E9">
              <w:rPr>
                <w:rFonts w:ascii="Arial" w:hAnsi="Arial" w:cs="Arial"/>
                <w:sz w:val="24"/>
                <w:szCs w:val="24"/>
              </w:rPr>
              <w:t>£760,112</w:t>
            </w:r>
          </w:p>
        </w:tc>
        <w:tc>
          <w:tcPr>
            <w:tcW w:w="659" w:type="dxa"/>
          </w:tcPr>
          <w:p w14:paraId="6C681AEC" w14:textId="77777777" w:rsidR="00C74952" w:rsidRPr="005806E9" w:rsidRDefault="00C74952" w:rsidP="002F24A3">
            <w:pPr>
              <w:spacing w:after="0" w:line="240" w:lineRule="auto"/>
              <w:jc w:val="center"/>
              <w:rPr>
                <w:rFonts w:ascii="Arial" w:hAnsi="Arial" w:cs="Arial"/>
                <w:sz w:val="24"/>
                <w:szCs w:val="24"/>
              </w:rPr>
            </w:pPr>
            <w:r w:rsidRPr="005806E9">
              <w:rPr>
                <w:rFonts w:ascii="Arial" w:hAnsi="Arial" w:cs="Arial"/>
                <w:sz w:val="24"/>
                <w:szCs w:val="24"/>
              </w:rPr>
              <w:t>55</w:t>
            </w:r>
          </w:p>
        </w:tc>
        <w:tc>
          <w:tcPr>
            <w:tcW w:w="1892" w:type="dxa"/>
          </w:tcPr>
          <w:p w14:paraId="70DDBE8D" w14:textId="77777777" w:rsidR="00C74952" w:rsidRPr="005806E9" w:rsidRDefault="00C74952" w:rsidP="002F24A3">
            <w:pPr>
              <w:spacing w:after="0" w:line="240" w:lineRule="auto"/>
              <w:jc w:val="center"/>
              <w:rPr>
                <w:rFonts w:ascii="Arial" w:hAnsi="Arial" w:cs="Arial"/>
                <w:sz w:val="24"/>
                <w:szCs w:val="24"/>
              </w:rPr>
            </w:pPr>
            <w:r w:rsidRPr="005806E9">
              <w:rPr>
                <w:rFonts w:ascii="Arial" w:hAnsi="Arial" w:cs="Arial"/>
                <w:sz w:val="24"/>
                <w:szCs w:val="24"/>
              </w:rPr>
              <w:t>£673,957</w:t>
            </w:r>
          </w:p>
        </w:tc>
      </w:tr>
      <w:tr w:rsidR="00C74952" w:rsidRPr="005806E9" w14:paraId="23B7EB0D" w14:textId="77777777" w:rsidTr="005806E9">
        <w:tc>
          <w:tcPr>
            <w:tcW w:w="2689" w:type="dxa"/>
            <w:tcBorders>
              <w:bottom w:val="single" w:sz="12" w:space="0" w:color="auto"/>
            </w:tcBorders>
          </w:tcPr>
          <w:p w14:paraId="1AC3E9A0" w14:textId="77777777" w:rsidR="00C74952" w:rsidRPr="005806E9" w:rsidRDefault="00C74952" w:rsidP="002F24A3">
            <w:pPr>
              <w:spacing w:after="0" w:line="240" w:lineRule="auto"/>
              <w:rPr>
                <w:rFonts w:ascii="Arial" w:hAnsi="Arial" w:cs="Arial"/>
                <w:sz w:val="24"/>
                <w:szCs w:val="24"/>
              </w:rPr>
            </w:pPr>
            <w:r w:rsidRPr="005806E9">
              <w:rPr>
                <w:rFonts w:ascii="Arial" w:hAnsi="Arial" w:cs="Arial"/>
                <w:sz w:val="24"/>
                <w:szCs w:val="24"/>
              </w:rPr>
              <w:t>&gt;£20,833</w:t>
            </w:r>
          </w:p>
        </w:tc>
        <w:tc>
          <w:tcPr>
            <w:tcW w:w="659" w:type="dxa"/>
            <w:tcBorders>
              <w:bottom w:val="single" w:sz="12" w:space="0" w:color="auto"/>
            </w:tcBorders>
          </w:tcPr>
          <w:p w14:paraId="68E66601" w14:textId="77777777" w:rsidR="00C74952" w:rsidRPr="005806E9" w:rsidRDefault="00C74952" w:rsidP="002F24A3">
            <w:pPr>
              <w:spacing w:after="0" w:line="240" w:lineRule="auto"/>
              <w:jc w:val="center"/>
              <w:rPr>
                <w:rFonts w:ascii="Arial" w:hAnsi="Arial" w:cs="Arial"/>
                <w:sz w:val="24"/>
                <w:szCs w:val="24"/>
              </w:rPr>
            </w:pPr>
            <w:r w:rsidRPr="005806E9">
              <w:rPr>
                <w:rFonts w:ascii="Arial" w:hAnsi="Arial" w:cs="Arial"/>
                <w:sz w:val="24"/>
                <w:szCs w:val="24"/>
              </w:rPr>
              <w:t>21</w:t>
            </w:r>
          </w:p>
        </w:tc>
        <w:tc>
          <w:tcPr>
            <w:tcW w:w="1892" w:type="dxa"/>
            <w:tcBorders>
              <w:bottom w:val="single" w:sz="12" w:space="0" w:color="auto"/>
            </w:tcBorders>
          </w:tcPr>
          <w:p w14:paraId="69E42E1F" w14:textId="77777777" w:rsidR="00C74952" w:rsidRPr="005806E9" w:rsidRDefault="00C74952" w:rsidP="002F24A3">
            <w:pPr>
              <w:spacing w:after="0" w:line="240" w:lineRule="auto"/>
              <w:jc w:val="center"/>
              <w:rPr>
                <w:rFonts w:ascii="Arial" w:hAnsi="Arial" w:cs="Arial"/>
                <w:sz w:val="24"/>
                <w:szCs w:val="24"/>
              </w:rPr>
            </w:pPr>
            <w:r w:rsidRPr="005806E9">
              <w:rPr>
                <w:rFonts w:ascii="Arial" w:hAnsi="Arial" w:cs="Arial"/>
                <w:sz w:val="24"/>
                <w:szCs w:val="24"/>
              </w:rPr>
              <w:t>£976,619</w:t>
            </w:r>
          </w:p>
        </w:tc>
        <w:tc>
          <w:tcPr>
            <w:tcW w:w="759" w:type="dxa"/>
            <w:tcBorders>
              <w:bottom w:val="single" w:sz="12" w:space="0" w:color="auto"/>
            </w:tcBorders>
          </w:tcPr>
          <w:p w14:paraId="71CA3B78" w14:textId="77777777" w:rsidR="00C74952" w:rsidRPr="005806E9" w:rsidRDefault="00C74952" w:rsidP="002F24A3">
            <w:pPr>
              <w:spacing w:after="0" w:line="240" w:lineRule="auto"/>
              <w:jc w:val="center"/>
              <w:rPr>
                <w:rFonts w:ascii="Arial" w:hAnsi="Arial" w:cs="Arial"/>
                <w:sz w:val="24"/>
                <w:szCs w:val="24"/>
              </w:rPr>
            </w:pPr>
            <w:r w:rsidRPr="005806E9">
              <w:rPr>
                <w:rFonts w:ascii="Arial" w:hAnsi="Arial" w:cs="Arial"/>
                <w:sz w:val="24"/>
                <w:szCs w:val="24"/>
              </w:rPr>
              <w:t>18</w:t>
            </w:r>
          </w:p>
        </w:tc>
        <w:tc>
          <w:tcPr>
            <w:tcW w:w="1793" w:type="dxa"/>
            <w:tcBorders>
              <w:bottom w:val="single" w:sz="12" w:space="0" w:color="auto"/>
            </w:tcBorders>
          </w:tcPr>
          <w:p w14:paraId="76584D1F" w14:textId="77777777" w:rsidR="00C74952" w:rsidRPr="005806E9" w:rsidRDefault="00C74952" w:rsidP="002F24A3">
            <w:pPr>
              <w:spacing w:after="0" w:line="240" w:lineRule="auto"/>
              <w:jc w:val="center"/>
              <w:rPr>
                <w:rFonts w:ascii="Arial" w:hAnsi="Arial" w:cs="Arial"/>
                <w:sz w:val="24"/>
                <w:szCs w:val="24"/>
              </w:rPr>
            </w:pPr>
            <w:r w:rsidRPr="005806E9">
              <w:rPr>
                <w:rFonts w:ascii="Arial" w:hAnsi="Arial" w:cs="Arial"/>
                <w:sz w:val="24"/>
                <w:szCs w:val="24"/>
              </w:rPr>
              <w:t>£786,977</w:t>
            </w:r>
          </w:p>
        </w:tc>
        <w:tc>
          <w:tcPr>
            <w:tcW w:w="659" w:type="dxa"/>
            <w:tcBorders>
              <w:bottom w:val="single" w:sz="12" w:space="0" w:color="auto"/>
            </w:tcBorders>
          </w:tcPr>
          <w:p w14:paraId="34939912" w14:textId="77777777" w:rsidR="00C74952" w:rsidRPr="005806E9" w:rsidRDefault="00C74952" w:rsidP="002F24A3">
            <w:pPr>
              <w:spacing w:after="0" w:line="240" w:lineRule="auto"/>
              <w:jc w:val="center"/>
              <w:rPr>
                <w:rFonts w:ascii="Arial" w:hAnsi="Arial" w:cs="Arial"/>
                <w:sz w:val="24"/>
                <w:szCs w:val="24"/>
              </w:rPr>
            </w:pPr>
            <w:r w:rsidRPr="005806E9">
              <w:rPr>
                <w:rFonts w:ascii="Arial" w:hAnsi="Arial" w:cs="Arial"/>
                <w:sz w:val="24"/>
                <w:szCs w:val="24"/>
              </w:rPr>
              <w:t>23</w:t>
            </w:r>
          </w:p>
        </w:tc>
        <w:tc>
          <w:tcPr>
            <w:tcW w:w="1892" w:type="dxa"/>
            <w:tcBorders>
              <w:bottom w:val="single" w:sz="12" w:space="0" w:color="auto"/>
            </w:tcBorders>
          </w:tcPr>
          <w:p w14:paraId="1D64164B" w14:textId="77777777" w:rsidR="00C74952" w:rsidRPr="005806E9" w:rsidRDefault="00C74952" w:rsidP="002F24A3">
            <w:pPr>
              <w:spacing w:after="0" w:line="240" w:lineRule="auto"/>
              <w:jc w:val="center"/>
              <w:rPr>
                <w:rFonts w:ascii="Arial" w:hAnsi="Arial" w:cs="Arial"/>
                <w:sz w:val="24"/>
                <w:szCs w:val="24"/>
              </w:rPr>
            </w:pPr>
            <w:r w:rsidRPr="005806E9">
              <w:rPr>
                <w:rFonts w:ascii="Arial" w:hAnsi="Arial" w:cs="Arial"/>
                <w:sz w:val="24"/>
                <w:szCs w:val="24"/>
              </w:rPr>
              <w:t>£1,349,326</w:t>
            </w:r>
          </w:p>
        </w:tc>
      </w:tr>
      <w:tr w:rsidR="00C74952" w:rsidRPr="005806E9" w14:paraId="51AD02C1" w14:textId="77777777" w:rsidTr="005806E9">
        <w:trPr>
          <w:trHeight w:val="392"/>
        </w:trPr>
        <w:tc>
          <w:tcPr>
            <w:tcW w:w="2689" w:type="dxa"/>
            <w:tcBorders>
              <w:top w:val="single" w:sz="12" w:space="0" w:color="auto"/>
            </w:tcBorders>
            <w:vAlign w:val="center"/>
          </w:tcPr>
          <w:p w14:paraId="61C12737" w14:textId="77777777" w:rsidR="00C74952" w:rsidRPr="005806E9" w:rsidRDefault="00C74952" w:rsidP="002F24A3">
            <w:pPr>
              <w:spacing w:after="0" w:line="240" w:lineRule="auto"/>
              <w:rPr>
                <w:rFonts w:ascii="Arial" w:hAnsi="Arial" w:cs="Arial"/>
                <w:b/>
                <w:sz w:val="24"/>
                <w:szCs w:val="24"/>
              </w:rPr>
            </w:pPr>
            <w:r w:rsidRPr="005806E9">
              <w:rPr>
                <w:rFonts w:ascii="Arial" w:hAnsi="Arial" w:cs="Arial"/>
                <w:b/>
                <w:sz w:val="24"/>
                <w:szCs w:val="24"/>
              </w:rPr>
              <w:t>Total</w:t>
            </w:r>
          </w:p>
        </w:tc>
        <w:tc>
          <w:tcPr>
            <w:tcW w:w="659" w:type="dxa"/>
            <w:tcBorders>
              <w:top w:val="single" w:sz="12" w:space="0" w:color="auto"/>
            </w:tcBorders>
            <w:vAlign w:val="center"/>
          </w:tcPr>
          <w:p w14:paraId="4A0A4C7C" w14:textId="77777777" w:rsidR="00C74952" w:rsidRPr="005806E9" w:rsidRDefault="00C74952" w:rsidP="002F24A3">
            <w:pPr>
              <w:spacing w:after="0" w:line="240" w:lineRule="auto"/>
              <w:jc w:val="center"/>
              <w:rPr>
                <w:rFonts w:ascii="Arial" w:hAnsi="Arial" w:cs="Arial"/>
                <w:b/>
                <w:sz w:val="24"/>
                <w:szCs w:val="24"/>
              </w:rPr>
            </w:pPr>
            <w:r w:rsidRPr="005806E9">
              <w:rPr>
                <w:rFonts w:ascii="Arial" w:hAnsi="Arial" w:cs="Arial"/>
                <w:b/>
                <w:sz w:val="24"/>
                <w:szCs w:val="24"/>
              </w:rPr>
              <w:t>67</w:t>
            </w:r>
          </w:p>
        </w:tc>
        <w:tc>
          <w:tcPr>
            <w:tcW w:w="1892" w:type="dxa"/>
            <w:tcBorders>
              <w:top w:val="single" w:sz="12" w:space="0" w:color="auto"/>
            </w:tcBorders>
            <w:vAlign w:val="center"/>
          </w:tcPr>
          <w:p w14:paraId="08251348" w14:textId="5CDFB8DF" w:rsidR="00C74952" w:rsidRPr="005806E9" w:rsidRDefault="00B474CB" w:rsidP="002F24A3">
            <w:pPr>
              <w:spacing w:after="0" w:line="240" w:lineRule="auto"/>
              <w:jc w:val="center"/>
              <w:rPr>
                <w:rFonts w:ascii="Arial" w:hAnsi="Arial" w:cs="Arial"/>
                <w:b/>
                <w:sz w:val="24"/>
                <w:szCs w:val="24"/>
              </w:rPr>
            </w:pPr>
            <w:r w:rsidRPr="005806E9">
              <w:rPr>
                <w:rFonts w:ascii="Arial" w:hAnsi="Arial" w:cs="Arial"/>
                <w:b/>
                <w:sz w:val="24"/>
                <w:szCs w:val="24"/>
              </w:rPr>
              <w:t>£1,470,57</w:t>
            </w:r>
            <w:r w:rsidR="00C74952" w:rsidRPr="005806E9">
              <w:rPr>
                <w:rFonts w:ascii="Arial" w:hAnsi="Arial" w:cs="Arial"/>
                <w:b/>
                <w:sz w:val="24"/>
                <w:szCs w:val="24"/>
              </w:rPr>
              <w:t>5</w:t>
            </w:r>
          </w:p>
        </w:tc>
        <w:tc>
          <w:tcPr>
            <w:tcW w:w="759" w:type="dxa"/>
            <w:tcBorders>
              <w:top w:val="single" w:sz="12" w:space="0" w:color="auto"/>
            </w:tcBorders>
            <w:vAlign w:val="center"/>
          </w:tcPr>
          <w:p w14:paraId="116169A8" w14:textId="77777777" w:rsidR="00C74952" w:rsidRPr="005806E9" w:rsidRDefault="00C74952" w:rsidP="002F24A3">
            <w:pPr>
              <w:spacing w:after="0" w:line="240" w:lineRule="auto"/>
              <w:jc w:val="center"/>
              <w:rPr>
                <w:rFonts w:ascii="Arial" w:hAnsi="Arial" w:cs="Arial"/>
                <w:b/>
                <w:sz w:val="24"/>
                <w:szCs w:val="24"/>
              </w:rPr>
            </w:pPr>
            <w:r w:rsidRPr="005806E9">
              <w:rPr>
                <w:rFonts w:ascii="Arial" w:hAnsi="Arial" w:cs="Arial"/>
                <w:b/>
                <w:sz w:val="24"/>
                <w:szCs w:val="24"/>
              </w:rPr>
              <w:t>84</w:t>
            </w:r>
          </w:p>
        </w:tc>
        <w:tc>
          <w:tcPr>
            <w:tcW w:w="1793" w:type="dxa"/>
            <w:tcBorders>
              <w:top w:val="single" w:sz="12" w:space="0" w:color="auto"/>
            </w:tcBorders>
            <w:vAlign w:val="center"/>
          </w:tcPr>
          <w:p w14:paraId="611F03DB" w14:textId="77777777" w:rsidR="00C74952" w:rsidRPr="005806E9" w:rsidRDefault="00C74952" w:rsidP="002F24A3">
            <w:pPr>
              <w:spacing w:after="0" w:line="240" w:lineRule="auto"/>
              <w:jc w:val="center"/>
              <w:rPr>
                <w:rFonts w:ascii="Arial" w:hAnsi="Arial" w:cs="Arial"/>
                <w:b/>
                <w:sz w:val="24"/>
                <w:szCs w:val="24"/>
              </w:rPr>
            </w:pPr>
            <w:r w:rsidRPr="005806E9">
              <w:rPr>
                <w:rFonts w:ascii="Arial" w:hAnsi="Arial" w:cs="Arial"/>
                <w:b/>
                <w:sz w:val="24"/>
                <w:szCs w:val="24"/>
              </w:rPr>
              <w:t>£1,547,089</w:t>
            </w:r>
          </w:p>
        </w:tc>
        <w:tc>
          <w:tcPr>
            <w:tcW w:w="659" w:type="dxa"/>
            <w:tcBorders>
              <w:top w:val="single" w:sz="12" w:space="0" w:color="auto"/>
            </w:tcBorders>
            <w:vAlign w:val="center"/>
          </w:tcPr>
          <w:p w14:paraId="7DE3E0BD" w14:textId="77777777" w:rsidR="00C74952" w:rsidRPr="005806E9" w:rsidRDefault="00C74952" w:rsidP="002F24A3">
            <w:pPr>
              <w:spacing w:after="0" w:line="240" w:lineRule="auto"/>
              <w:jc w:val="center"/>
              <w:rPr>
                <w:rFonts w:ascii="Arial" w:hAnsi="Arial" w:cs="Arial"/>
                <w:b/>
                <w:sz w:val="24"/>
                <w:szCs w:val="24"/>
              </w:rPr>
            </w:pPr>
            <w:r w:rsidRPr="005806E9">
              <w:rPr>
                <w:rFonts w:ascii="Arial" w:hAnsi="Arial" w:cs="Arial"/>
                <w:b/>
                <w:sz w:val="24"/>
                <w:szCs w:val="24"/>
              </w:rPr>
              <w:t>78</w:t>
            </w:r>
          </w:p>
        </w:tc>
        <w:tc>
          <w:tcPr>
            <w:tcW w:w="1892" w:type="dxa"/>
            <w:tcBorders>
              <w:top w:val="single" w:sz="12" w:space="0" w:color="auto"/>
            </w:tcBorders>
            <w:vAlign w:val="center"/>
          </w:tcPr>
          <w:p w14:paraId="2A31C05A" w14:textId="77777777" w:rsidR="00C74952" w:rsidRPr="005806E9" w:rsidRDefault="00C74952" w:rsidP="002F24A3">
            <w:pPr>
              <w:spacing w:after="0" w:line="240" w:lineRule="auto"/>
              <w:jc w:val="center"/>
              <w:rPr>
                <w:rFonts w:ascii="Arial" w:hAnsi="Arial" w:cs="Arial"/>
                <w:b/>
                <w:sz w:val="24"/>
                <w:szCs w:val="24"/>
              </w:rPr>
            </w:pPr>
            <w:r w:rsidRPr="005806E9">
              <w:rPr>
                <w:rFonts w:ascii="Arial" w:hAnsi="Arial" w:cs="Arial"/>
                <w:b/>
                <w:sz w:val="24"/>
                <w:szCs w:val="24"/>
              </w:rPr>
              <w:t>£2,023,283</w:t>
            </w:r>
          </w:p>
        </w:tc>
      </w:tr>
    </w:tbl>
    <w:p w14:paraId="754F7995" w14:textId="77777777" w:rsidR="00C74952" w:rsidRPr="00070B35" w:rsidRDefault="00C74952" w:rsidP="00C74952">
      <w:pPr>
        <w:spacing w:after="0" w:line="240" w:lineRule="auto"/>
        <w:jc w:val="both"/>
        <w:rPr>
          <w:rFonts w:ascii="Arial" w:hAnsi="Arial" w:cs="Arial"/>
          <w:b/>
          <w:color w:val="FF0000"/>
          <w:highlight w:val="yellow"/>
        </w:rPr>
      </w:pPr>
    </w:p>
    <w:p w14:paraId="04F8304F" w14:textId="2BE7AC41" w:rsidR="00C74952" w:rsidRPr="0077738E" w:rsidRDefault="00C74952" w:rsidP="007500FC">
      <w:pPr>
        <w:spacing w:after="0" w:line="240" w:lineRule="auto"/>
        <w:jc w:val="both"/>
        <w:rPr>
          <w:rFonts w:ascii="Arial" w:hAnsi="Arial" w:cs="Arial"/>
          <w:color w:val="FF0000"/>
          <w:sz w:val="24"/>
          <w:szCs w:val="24"/>
        </w:rPr>
      </w:pPr>
      <w:r w:rsidRPr="0077738E">
        <w:rPr>
          <w:rFonts w:ascii="Arial" w:hAnsi="Arial" w:cs="Arial"/>
          <w:sz w:val="24"/>
          <w:szCs w:val="24"/>
        </w:rPr>
        <w:t xml:space="preserve">Scottish Government is required to endorse non-competitive actions (NCAs) greater than £20,833 (excluding VAT) which do not relate to laboratory equipment or IS hardware/software maintenance contracts. Of the </w:t>
      </w:r>
      <w:r w:rsidR="003132FC" w:rsidRPr="0077738E">
        <w:rPr>
          <w:rFonts w:ascii="Arial" w:hAnsi="Arial" w:cs="Arial"/>
          <w:sz w:val="24"/>
          <w:szCs w:val="24"/>
        </w:rPr>
        <w:t>21</w:t>
      </w:r>
      <w:r w:rsidRPr="0077738E">
        <w:rPr>
          <w:rFonts w:ascii="Arial" w:hAnsi="Arial" w:cs="Arial"/>
          <w:sz w:val="24"/>
          <w:szCs w:val="24"/>
        </w:rPr>
        <w:t xml:space="preserve"> above this threshold, 6</w:t>
      </w:r>
      <w:r w:rsidRPr="0077738E">
        <w:rPr>
          <w:rFonts w:ascii="Arial" w:hAnsi="Arial" w:cs="Arial"/>
          <w:color w:val="FF0000"/>
          <w:sz w:val="24"/>
          <w:szCs w:val="24"/>
        </w:rPr>
        <w:t xml:space="preserve"> </w:t>
      </w:r>
      <w:r w:rsidRPr="0077738E">
        <w:rPr>
          <w:rFonts w:ascii="Arial" w:hAnsi="Arial" w:cs="Arial"/>
          <w:sz w:val="24"/>
          <w:szCs w:val="24"/>
        </w:rPr>
        <w:t>were forwarded and received endorsement by Scottish Government at a value of £280,556.</w:t>
      </w:r>
    </w:p>
    <w:p w14:paraId="4061FED2" w14:textId="77777777" w:rsidR="00C74952" w:rsidRPr="00070B35" w:rsidRDefault="00C74952" w:rsidP="00C74952">
      <w:pPr>
        <w:spacing w:after="0" w:line="240" w:lineRule="auto"/>
        <w:jc w:val="both"/>
        <w:rPr>
          <w:rFonts w:ascii="Arial" w:hAnsi="Arial" w:cs="Arial"/>
          <w:color w:val="FF0000"/>
        </w:rPr>
      </w:pPr>
    </w:p>
    <w:p w14:paraId="0A799A01" w14:textId="77777777" w:rsidR="00C74952" w:rsidRPr="0077738E" w:rsidRDefault="00C74952" w:rsidP="00C74952">
      <w:pPr>
        <w:pStyle w:val="ListParagraph"/>
        <w:numPr>
          <w:ilvl w:val="2"/>
          <w:numId w:val="24"/>
        </w:numPr>
        <w:spacing w:after="0" w:line="240" w:lineRule="auto"/>
        <w:ind w:left="709" w:hanging="709"/>
        <w:rPr>
          <w:rFonts w:ascii="Arial" w:hAnsi="Arial" w:cs="Arial"/>
          <w:b/>
          <w:sz w:val="24"/>
          <w:szCs w:val="24"/>
        </w:rPr>
      </w:pPr>
      <w:r w:rsidRPr="0077738E">
        <w:rPr>
          <w:rFonts w:ascii="Arial" w:hAnsi="Arial" w:cs="Arial"/>
          <w:b/>
          <w:sz w:val="24"/>
          <w:szCs w:val="24"/>
        </w:rPr>
        <w:t>Procurement activity</w:t>
      </w:r>
    </w:p>
    <w:p w14:paraId="7615D86D" w14:textId="77777777" w:rsidR="00C74952" w:rsidRPr="00070B35" w:rsidRDefault="00C74952" w:rsidP="00C74952">
      <w:pPr>
        <w:spacing w:after="0" w:line="240" w:lineRule="auto"/>
        <w:jc w:val="both"/>
        <w:rPr>
          <w:rFonts w:ascii="Arial" w:hAnsi="Arial" w:cs="Arial"/>
          <w:color w:val="FF0000"/>
          <w:highlight w:val="yellow"/>
        </w:rPr>
      </w:pPr>
    </w:p>
    <w:p w14:paraId="3F1CB30D" w14:textId="77777777" w:rsidR="00C74952" w:rsidRPr="0077738E" w:rsidRDefault="00C74952" w:rsidP="0077738E">
      <w:pPr>
        <w:spacing w:after="0" w:line="240" w:lineRule="auto"/>
        <w:jc w:val="both"/>
        <w:rPr>
          <w:rFonts w:ascii="Arial" w:hAnsi="Arial" w:cs="Arial"/>
          <w:sz w:val="24"/>
          <w:szCs w:val="24"/>
        </w:rPr>
      </w:pPr>
      <w:r w:rsidRPr="0077738E">
        <w:rPr>
          <w:rFonts w:ascii="Arial" w:hAnsi="Arial" w:cs="Arial"/>
          <w:sz w:val="24"/>
          <w:szCs w:val="24"/>
        </w:rPr>
        <w:t xml:space="preserve">Procurement activity was undertaken in line with the Procurement Strategy by appropriately utilising collaborative frameworks, ensuring Small to Medium Enterprises (SMEs) and local businesses were given the best opportunity to compete for work by publishing Notices on Public Contracts Scotland (PCS) </w:t>
      </w:r>
      <w:hyperlink r:id="rId16" w:history="1">
        <w:r w:rsidRPr="0077738E">
          <w:rPr>
            <w:rStyle w:val="Hyperlink"/>
            <w:rFonts w:ascii="Arial" w:hAnsi="Arial" w:cs="Arial"/>
            <w:color w:val="auto"/>
            <w:sz w:val="24"/>
            <w:szCs w:val="24"/>
          </w:rPr>
          <w:t>https://www.publiccontractsscotland.gov.uk</w:t>
        </w:r>
      </w:hyperlink>
      <w:r w:rsidRPr="0077738E">
        <w:rPr>
          <w:rStyle w:val="Hyperlink"/>
          <w:rFonts w:ascii="Arial" w:hAnsi="Arial" w:cs="Arial"/>
          <w:color w:val="auto"/>
          <w:sz w:val="24"/>
          <w:szCs w:val="24"/>
          <w:u w:val="none"/>
        </w:rPr>
        <w:t>, a</w:t>
      </w:r>
      <w:r w:rsidRPr="0077738E">
        <w:rPr>
          <w:rFonts w:ascii="Arial" w:hAnsi="Arial" w:cs="Arial"/>
          <w:sz w:val="24"/>
          <w:szCs w:val="24"/>
        </w:rPr>
        <w:t xml:space="preserve">nd where possible, dividing contracts into Lots, for example, geographically whilst promoting the delivery of value for money. </w:t>
      </w:r>
    </w:p>
    <w:p w14:paraId="4B0DD177" w14:textId="77777777" w:rsidR="00C74952" w:rsidRPr="0077738E" w:rsidRDefault="00C74952" w:rsidP="00C74952">
      <w:pPr>
        <w:spacing w:after="0" w:line="240" w:lineRule="auto"/>
        <w:rPr>
          <w:rFonts w:ascii="Arial" w:hAnsi="Arial" w:cs="Arial"/>
          <w:color w:val="FF0000"/>
          <w:sz w:val="24"/>
          <w:szCs w:val="24"/>
          <w:highlight w:val="yellow"/>
        </w:rPr>
      </w:pPr>
    </w:p>
    <w:tbl>
      <w:tblPr>
        <w:tblW w:w="1049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552"/>
        <w:gridCol w:w="1276"/>
        <w:gridCol w:w="1701"/>
        <w:gridCol w:w="992"/>
        <w:gridCol w:w="1843"/>
        <w:gridCol w:w="2126"/>
      </w:tblGrid>
      <w:tr w:rsidR="00C74952" w:rsidRPr="0077738E" w14:paraId="119D6400" w14:textId="77777777" w:rsidTr="0077738E">
        <w:trPr>
          <w:trHeight w:val="20"/>
        </w:trPr>
        <w:tc>
          <w:tcPr>
            <w:tcW w:w="10490" w:type="dxa"/>
            <w:gridSpan w:val="6"/>
            <w:shd w:val="clear" w:color="auto" w:fill="D9D9D9" w:themeFill="background1" w:themeFillShade="D9"/>
            <w:noWrap/>
            <w:vAlign w:val="bottom"/>
            <w:hideMark/>
          </w:tcPr>
          <w:p w14:paraId="6C29909A" w14:textId="77777777" w:rsidR="00C74952" w:rsidRPr="0077738E" w:rsidRDefault="00C74952" w:rsidP="002F24A3">
            <w:pPr>
              <w:spacing w:after="0" w:line="240" w:lineRule="auto"/>
              <w:jc w:val="center"/>
              <w:rPr>
                <w:rFonts w:ascii="Arial" w:eastAsia="Times New Roman" w:hAnsi="Arial" w:cs="Arial"/>
                <w:b/>
                <w:sz w:val="24"/>
                <w:szCs w:val="24"/>
                <w:highlight w:val="yellow"/>
                <w:lang w:eastAsia="en-GB"/>
              </w:rPr>
            </w:pPr>
            <w:r w:rsidRPr="0077738E">
              <w:rPr>
                <w:rFonts w:ascii="Arial" w:hAnsi="Arial" w:cs="Arial"/>
                <w:b/>
                <w:sz w:val="24"/>
                <w:szCs w:val="24"/>
                <w:highlight w:val="yellow"/>
              </w:rPr>
              <w:br w:type="page"/>
            </w:r>
            <w:r w:rsidRPr="0077738E">
              <w:rPr>
                <w:rFonts w:ascii="Arial" w:hAnsi="Arial" w:cs="Arial"/>
                <w:b/>
                <w:sz w:val="24"/>
                <w:szCs w:val="24"/>
              </w:rPr>
              <w:t>A</w:t>
            </w:r>
            <w:r w:rsidRPr="0077738E">
              <w:rPr>
                <w:rFonts w:ascii="Arial" w:hAnsi="Arial" w:cs="Arial"/>
                <w:b/>
                <w:sz w:val="24"/>
                <w:szCs w:val="24"/>
                <w:shd w:val="clear" w:color="auto" w:fill="D9D9D9" w:themeFill="background1" w:themeFillShade="D9"/>
              </w:rPr>
              <w:t>ctivity</w:t>
            </w:r>
            <w:r w:rsidRPr="0077738E">
              <w:rPr>
                <w:rFonts w:ascii="Arial" w:eastAsia="Times New Roman" w:hAnsi="Arial" w:cs="Arial"/>
                <w:b/>
                <w:sz w:val="24"/>
                <w:szCs w:val="24"/>
                <w:shd w:val="clear" w:color="auto" w:fill="D9D9D9" w:themeFill="background1" w:themeFillShade="D9"/>
                <w:lang w:eastAsia="en-GB"/>
              </w:rPr>
              <w:t xml:space="preserve"> 2019/20</w:t>
            </w:r>
          </w:p>
        </w:tc>
      </w:tr>
      <w:tr w:rsidR="00C74952" w:rsidRPr="0077738E" w14:paraId="297B656F" w14:textId="77777777" w:rsidTr="0077738E">
        <w:trPr>
          <w:trHeight w:val="20"/>
        </w:trPr>
        <w:tc>
          <w:tcPr>
            <w:tcW w:w="2552" w:type="dxa"/>
            <w:shd w:val="clear" w:color="auto" w:fill="D9D9D9" w:themeFill="background1" w:themeFillShade="D9"/>
            <w:vAlign w:val="center"/>
            <w:hideMark/>
          </w:tcPr>
          <w:p w14:paraId="5E1217CF" w14:textId="77777777" w:rsidR="00C74952" w:rsidRPr="0077738E" w:rsidRDefault="00C74952" w:rsidP="002F24A3">
            <w:pPr>
              <w:spacing w:after="0" w:line="240" w:lineRule="auto"/>
              <w:rPr>
                <w:rFonts w:ascii="Arial" w:eastAsia="Times New Roman" w:hAnsi="Arial" w:cs="Arial"/>
                <w:b/>
                <w:bCs/>
                <w:sz w:val="24"/>
                <w:szCs w:val="24"/>
                <w:lang w:eastAsia="en-GB"/>
              </w:rPr>
            </w:pPr>
            <w:r w:rsidRPr="0077738E">
              <w:rPr>
                <w:rFonts w:ascii="Arial" w:eastAsia="Times New Roman" w:hAnsi="Arial" w:cs="Arial"/>
                <w:b/>
                <w:bCs/>
                <w:sz w:val="24"/>
                <w:szCs w:val="24"/>
                <w:lang w:eastAsia="en-GB"/>
              </w:rPr>
              <w:t>Threshold</w:t>
            </w:r>
          </w:p>
        </w:tc>
        <w:tc>
          <w:tcPr>
            <w:tcW w:w="1276" w:type="dxa"/>
            <w:shd w:val="clear" w:color="auto" w:fill="D9D9D9" w:themeFill="background1" w:themeFillShade="D9"/>
            <w:vAlign w:val="center"/>
            <w:hideMark/>
          </w:tcPr>
          <w:p w14:paraId="772848CC" w14:textId="77777777" w:rsidR="00C74952" w:rsidRPr="0077738E" w:rsidRDefault="00C74952" w:rsidP="002F24A3">
            <w:pPr>
              <w:spacing w:after="0" w:line="240" w:lineRule="auto"/>
              <w:jc w:val="center"/>
              <w:rPr>
                <w:rFonts w:ascii="Arial" w:eastAsia="Times New Roman" w:hAnsi="Arial" w:cs="Arial"/>
                <w:b/>
                <w:bCs/>
                <w:sz w:val="24"/>
                <w:szCs w:val="24"/>
                <w:lang w:eastAsia="en-GB"/>
              </w:rPr>
            </w:pPr>
            <w:r w:rsidRPr="0077738E">
              <w:rPr>
                <w:rFonts w:ascii="Arial" w:eastAsia="Times New Roman" w:hAnsi="Arial" w:cs="Arial"/>
                <w:b/>
                <w:bCs/>
                <w:sz w:val="24"/>
                <w:szCs w:val="24"/>
                <w:lang w:eastAsia="en-GB"/>
              </w:rPr>
              <w:t>Tenders</w:t>
            </w:r>
          </w:p>
          <w:p w14:paraId="5F7DA9D3" w14:textId="77777777" w:rsidR="00C74952" w:rsidRPr="0077738E" w:rsidRDefault="00C74952" w:rsidP="002F24A3">
            <w:pPr>
              <w:spacing w:after="0" w:line="240" w:lineRule="auto"/>
              <w:jc w:val="center"/>
              <w:rPr>
                <w:rFonts w:ascii="Arial" w:eastAsia="Times New Roman" w:hAnsi="Arial" w:cs="Arial"/>
                <w:b/>
                <w:bCs/>
                <w:sz w:val="24"/>
                <w:szCs w:val="24"/>
                <w:lang w:eastAsia="en-GB"/>
              </w:rPr>
            </w:pPr>
            <w:r w:rsidRPr="0077738E">
              <w:rPr>
                <w:rFonts w:ascii="Arial" w:eastAsia="Times New Roman" w:hAnsi="Arial" w:cs="Arial"/>
                <w:b/>
                <w:bCs/>
                <w:sz w:val="24"/>
                <w:szCs w:val="24"/>
                <w:lang w:eastAsia="en-GB"/>
              </w:rPr>
              <w:t>issued</w:t>
            </w:r>
          </w:p>
        </w:tc>
        <w:tc>
          <w:tcPr>
            <w:tcW w:w="1701" w:type="dxa"/>
            <w:shd w:val="clear" w:color="auto" w:fill="D9D9D9" w:themeFill="background1" w:themeFillShade="D9"/>
            <w:vAlign w:val="center"/>
            <w:hideMark/>
          </w:tcPr>
          <w:p w14:paraId="72E8FD42" w14:textId="77777777" w:rsidR="00C74952" w:rsidRPr="0077738E" w:rsidRDefault="00C74952" w:rsidP="002F24A3">
            <w:pPr>
              <w:spacing w:after="0" w:line="240" w:lineRule="auto"/>
              <w:jc w:val="center"/>
              <w:rPr>
                <w:rFonts w:ascii="Arial" w:eastAsia="Times New Roman" w:hAnsi="Arial" w:cs="Arial"/>
                <w:b/>
                <w:bCs/>
                <w:sz w:val="24"/>
                <w:szCs w:val="24"/>
                <w:lang w:eastAsia="en-GB"/>
              </w:rPr>
            </w:pPr>
            <w:r w:rsidRPr="0077738E">
              <w:rPr>
                <w:rFonts w:ascii="Arial" w:eastAsia="Times New Roman" w:hAnsi="Arial" w:cs="Arial"/>
                <w:b/>
                <w:bCs/>
                <w:sz w:val="24"/>
                <w:szCs w:val="24"/>
                <w:lang w:eastAsia="en-GB"/>
              </w:rPr>
              <w:t>Budget</w:t>
            </w:r>
          </w:p>
        </w:tc>
        <w:tc>
          <w:tcPr>
            <w:tcW w:w="992" w:type="dxa"/>
            <w:vMerge w:val="restart"/>
            <w:tcBorders>
              <w:top w:val="nil"/>
            </w:tcBorders>
            <w:shd w:val="clear" w:color="auto" w:fill="D9D9D9" w:themeFill="background1" w:themeFillShade="D9"/>
          </w:tcPr>
          <w:p w14:paraId="6F48C59C" w14:textId="77777777" w:rsidR="00C74952" w:rsidRPr="0077738E" w:rsidRDefault="00C74952" w:rsidP="002F24A3">
            <w:pPr>
              <w:spacing w:after="0" w:line="240" w:lineRule="auto"/>
              <w:jc w:val="center"/>
              <w:rPr>
                <w:rFonts w:ascii="Arial" w:eastAsia="Times New Roman" w:hAnsi="Arial" w:cs="Arial"/>
                <w:b/>
                <w:bCs/>
                <w:sz w:val="24"/>
                <w:szCs w:val="24"/>
                <w:lang w:eastAsia="en-GB"/>
              </w:rPr>
            </w:pPr>
          </w:p>
        </w:tc>
        <w:tc>
          <w:tcPr>
            <w:tcW w:w="1843" w:type="dxa"/>
            <w:shd w:val="clear" w:color="auto" w:fill="D9D9D9" w:themeFill="background1" w:themeFillShade="D9"/>
            <w:vAlign w:val="center"/>
            <w:hideMark/>
          </w:tcPr>
          <w:p w14:paraId="55D1DC98" w14:textId="77777777" w:rsidR="00C74952" w:rsidRPr="0077738E" w:rsidRDefault="00C74952" w:rsidP="002F24A3">
            <w:pPr>
              <w:spacing w:after="0" w:line="240" w:lineRule="auto"/>
              <w:jc w:val="center"/>
              <w:rPr>
                <w:rFonts w:ascii="Arial" w:eastAsia="Times New Roman" w:hAnsi="Arial" w:cs="Arial"/>
                <w:b/>
                <w:bCs/>
                <w:sz w:val="24"/>
                <w:szCs w:val="24"/>
                <w:lang w:eastAsia="en-GB"/>
              </w:rPr>
            </w:pPr>
            <w:r w:rsidRPr="0077738E">
              <w:rPr>
                <w:rFonts w:ascii="Arial" w:eastAsia="Times New Roman" w:hAnsi="Arial" w:cs="Arial"/>
                <w:b/>
                <w:bCs/>
                <w:sz w:val="24"/>
                <w:szCs w:val="24"/>
                <w:lang w:eastAsia="en-GB"/>
              </w:rPr>
              <w:t xml:space="preserve">Awarded </w:t>
            </w:r>
          </w:p>
          <w:p w14:paraId="6F0894D9" w14:textId="77777777" w:rsidR="00C74952" w:rsidRPr="0077738E" w:rsidRDefault="00C74952" w:rsidP="002F24A3">
            <w:pPr>
              <w:spacing w:after="0" w:line="240" w:lineRule="auto"/>
              <w:jc w:val="center"/>
              <w:rPr>
                <w:rFonts w:ascii="Arial" w:eastAsia="Times New Roman" w:hAnsi="Arial" w:cs="Arial"/>
                <w:b/>
                <w:bCs/>
                <w:sz w:val="24"/>
                <w:szCs w:val="24"/>
                <w:lang w:eastAsia="en-GB"/>
              </w:rPr>
            </w:pPr>
            <w:r w:rsidRPr="0077738E">
              <w:rPr>
                <w:rFonts w:ascii="Arial" w:eastAsia="Times New Roman" w:hAnsi="Arial" w:cs="Arial"/>
                <w:b/>
                <w:bCs/>
                <w:sz w:val="24"/>
                <w:szCs w:val="24"/>
                <w:lang w:eastAsia="en-GB"/>
              </w:rPr>
              <w:t>(incl. NCA)</w:t>
            </w:r>
          </w:p>
        </w:tc>
        <w:tc>
          <w:tcPr>
            <w:tcW w:w="2126" w:type="dxa"/>
            <w:shd w:val="clear" w:color="auto" w:fill="D9D9D9" w:themeFill="background1" w:themeFillShade="D9"/>
            <w:vAlign w:val="center"/>
            <w:hideMark/>
          </w:tcPr>
          <w:p w14:paraId="37433CAC" w14:textId="77777777" w:rsidR="00C74952" w:rsidRPr="0077738E" w:rsidRDefault="00C74952" w:rsidP="002F24A3">
            <w:pPr>
              <w:spacing w:after="0" w:line="240" w:lineRule="auto"/>
              <w:jc w:val="center"/>
              <w:rPr>
                <w:rFonts w:ascii="Arial" w:eastAsia="Times New Roman" w:hAnsi="Arial" w:cs="Arial"/>
                <w:b/>
                <w:bCs/>
                <w:sz w:val="24"/>
                <w:szCs w:val="24"/>
                <w:lang w:eastAsia="en-GB"/>
              </w:rPr>
            </w:pPr>
            <w:r w:rsidRPr="0077738E">
              <w:rPr>
                <w:rFonts w:ascii="Arial" w:eastAsia="Times New Roman" w:hAnsi="Arial" w:cs="Arial"/>
                <w:b/>
                <w:bCs/>
                <w:sz w:val="24"/>
                <w:szCs w:val="24"/>
                <w:lang w:eastAsia="en-GB"/>
              </w:rPr>
              <w:t>Award value</w:t>
            </w:r>
          </w:p>
        </w:tc>
      </w:tr>
      <w:tr w:rsidR="00C74952" w:rsidRPr="0077738E" w14:paraId="58FC5FA8" w14:textId="77777777" w:rsidTr="0077738E">
        <w:trPr>
          <w:trHeight w:val="255"/>
        </w:trPr>
        <w:tc>
          <w:tcPr>
            <w:tcW w:w="2552" w:type="dxa"/>
            <w:shd w:val="clear" w:color="auto" w:fill="auto"/>
            <w:vAlign w:val="center"/>
            <w:hideMark/>
          </w:tcPr>
          <w:p w14:paraId="7DEF09B8" w14:textId="77777777" w:rsidR="00C74952" w:rsidRPr="0077738E" w:rsidRDefault="00C74952" w:rsidP="002F24A3">
            <w:pPr>
              <w:spacing w:after="0" w:line="240" w:lineRule="auto"/>
              <w:rPr>
                <w:rFonts w:ascii="Arial" w:eastAsia="Times New Roman" w:hAnsi="Arial" w:cs="Arial"/>
                <w:sz w:val="24"/>
                <w:szCs w:val="24"/>
                <w:lang w:eastAsia="en-GB"/>
              </w:rPr>
            </w:pPr>
            <w:r w:rsidRPr="0077738E">
              <w:rPr>
                <w:rFonts w:ascii="Arial" w:eastAsia="Times New Roman" w:hAnsi="Arial" w:cs="Arial"/>
                <w:sz w:val="24"/>
                <w:szCs w:val="24"/>
                <w:lang w:eastAsia="en-GB"/>
              </w:rPr>
              <w:t>&lt;£10,000</w:t>
            </w:r>
          </w:p>
        </w:tc>
        <w:tc>
          <w:tcPr>
            <w:tcW w:w="1276" w:type="dxa"/>
            <w:shd w:val="clear" w:color="auto" w:fill="auto"/>
            <w:vAlign w:val="center"/>
          </w:tcPr>
          <w:p w14:paraId="5654D31A" w14:textId="77777777" w:rsidR="00C74952" w:rsidRPr="0077738E" w:rsidRDefault="00C74952" w:rsidP="002F24A3">
            <w:pPr>
              <w:spacing w:after="0" w:line="240" w:lineRule="auto"/>
              <w:jc w:val="center"/>
              <w:rPr>
                <w:rFonts w:ascii="Arial" w:eastAsia="Times New Roman" w:hAnsi="Arial" w:cs="Arial"/>
                <w:sz w:val="24"/>
                <w:szCs w:val="24"/>
                <w:lang w:eastAsia="en-GB"/>
              </w:rPr>
            </w:pPr>
            <w:r w:rsidRPr="0077738E">
              <w:rPr>
                <w:rFonts w:ascii="Arial" w:eastAsia="Times New Roman" w:hAnsi="Arial" w:cs="Arial"/>
                <w:sz w:val="24"/>
                <w:szCs w:val="24"/>
                <w:lang w:eastAsia="en-GB"/>
              </w:rPr>
              <w:t>0</w:t>
            </w:r>
          </w:p>
        </w:tc>
        <w:tc>
          <w:tcPr>
            <w:tcW w:w="1701" w:type="dxa"/>
            <w:shd w:val="clear" w:color="auto" w:fill="auto"/>
            <w:vAlign w:val="center"/>
          </w:tcPr>
          <w:p w14:paraId="0F335EA5" w14:textId="77777777" w:rsidR="00C74952" w:rsidRPr="0077738E" w:rsidRDefault="00C74952" w:rsidP="002F24A3">
            <w:pPr>
              <w:spacing w:after="0" w:line="240" w:lineRule="auto"/>
              <w:jc w:val="center"/>
              <w:rPr>
                <w:rFonts w:ascii="Arial" w:eastAsia="Times New Roman" w:hAnsi="Arial" w:cs="Arial"/>
                <w:sz w:val="24"/>
                <w:szCs w:val="24"/>
                <w:lang w:eastAsia="en-GB"/>
              </w:rPr>
            </w:pPr>
            <w:r w:rsidRPr="0077738E">
              <w:rPr>
                <w:rFonts w:ascii="Arial" w:eastAsia="Times New Roman" w:hAnsi="Arial" w:cs="Arial"/>
                <w:sz w:val="24"/>
                <w:szCs w:val="24"/>
                <w:lang w:eastAsia="en-GB"/>
              </w:rPr>
              <w:t>0</w:t>
            </w:r>
          </w:p>
        </w:tc>
        <w:tc>
          <w:tcPr>
            <w:tcW w:w="992" w:type="dxa"/>
            <w:vMerge/>
            <w:shd w:val="clear" w:color="auto" w:fill="D9D9D9" w:themeFill="background1" w:themeFillShade="D9"/>
          </w:tcPr>
          <w:p w14:paraId="40C29D62" w14:textId="77777777" w:rsidR="00C74952" w:rsidRPr="0077738E" w:rsidRDefault="00C74952" w:rsidP="002F24A3">
            <w:pPr>
              <w:spacing w:after="0" w:line="240" w:lineRule="auto"/>
              <w:jc w:val="center"/>
              <w:rPr>
                <w:rFonts w:ascii="Arial" w:eastAsia="Times New Roman" w:hAnsi="Arial" w:cs="Arial"/>
                <w:color w:val="FF0000"/>
                <w:sz w:val="24"/>
                <w:szCs w:val="24"/>
                <w:lang w:eastAsia="en-GB"/>
              </w:rPr>
            </w:pPr>
          </w:p>
        </w:tc>
        <w:tc>
          <w:tcPr>
            <w:tcW w:w="1843" w:type="dxa"/>
            <w:shd w:val="clear" w:color="auto" w:fill="auto"/>
            <w:vAlign w:val="center"/>
          </w:tcPr>
          <w:p w14:paraId="051C9059" w14:textId="77777777" w:rsidR="00C74952" w:rsidRPr="0077738E" w:rsidRDefault="00C74952" w:rsidP="002F24A3">
            <w:pPr>
              <w:spacing w:after="0" w:line="240" w:lineRule="auto"/>
              <w:jc w:val="center"/>
              <w:rPr>
                <w:rFonts w:ascii="Arial" w:eastAsia="Times New Roman" w:hAnsi="Arial" w:cs="Arial"/>
                <w:sz w:val="24"/>
                <w:szCs w:val="24"/>
                <w:lang w:eastAsia="en-GB"/>
              </w:rPr>
            </w:pPr>
            <w:r w:rsidRPr="0077738E">
              <w:rPr>
                <w:rFonts w:ascii="Arial" w:eastAsia="Times New Roman" w:hAnsi="Arial" w:cs="Arial"/>
                <w:sz w:val="24"/>
                <w:szCs w:val="24"/>
                <w:lang w:eastAsia="en-GB"/>
              </w:rPr>
              <w:t>29</w:t>
            </w:r>
          </w:p>
        </w:tc>
        <w:tc>
          <w:tcPr>
            <w:tcW w:w="2126" w:type="dxa"/>
            <w:shd w:val="clear" w:color="auto" w:fill="auto"/>
            <w:vAlign w:val="center"/>
          </w:tcPr>
          <w:p w14:paraId="33DA4E58" w14:textId="77777777" w:rsidR="00C74952" w:rsidRPr="0077738E" w:rsidRDefault="00C74952" w:rsidP="002F24A3">
            <w:pPr>
              <w:spacing w:after="0" w:line="240" w:lineRule="auto"/>
              <w:jc w:val="center"/>
              <w:rPr>
                <w:rFonts w:ascii="Arial" w:eastAsia="Times New Roman" w:hAnsi="Arial" w:cs="Arial"/>
                <w:sz w:val="24"/>
                <w:szCs w:val="24"/>
                <w:lang w:eastAsia="en-GB"/>
              </w:rPr>
            </w:pPr>
            <w:r w:rsidRPr="0077738E">
              <w:rPr>
                <w:rFonts w:ascii="Arial" w:eastAsia="Times New Roman" w:hAnsi="Arial" w:cs="Arial"/>
                <w:sz w:val="24"/>
                <w:szCs w:val="24"/>
                <w:lang w:eastAsia="en-GB"/>
              </w:rPr>
              <w:t>£217,662</w:t>
            </w:r>
          </w:p>
        </w:tc>
      </w:tr>
      <w:tr w:rsidR="00C74952" w:rsidRPr="0077738E" w14:paraId="0095908B" w14:textId="77777777" w:rsidTr="0077738E">
        <w:trPr>
          <w:trHeight w:val="255"/>
        </w:trPr>
        <w:tc>
          <w:tcPr>
            <w:tcW w:w="2552" w:type="dxa"/>
            <w:shd w:val="clear" w:color="auto" w:fill="auto"/>
            <w:vAlign w:val="center"/>
            <w:hideMark/>
          </w:tcPr>
          <w:p w14:paraId="64EE9A21" w14:textId="77777777" w:rsidR="00C74952" w:rsidRPr="0077738E" w:rsidRDefault="00C74952" w:rsidP="002F24A3">
            <w:pPr>
              <w:spacing w:after="0" w:line="240" w:lineRule="auto"/>
              <w:rPr>
                <w:rFonts w:ascii="Arial" w:eastAsia="Times New Roman" w:hAnsi="Arial" w:cs="Arial"/>
                <w:sz w:val="24"/>
                <w:szCs w:val="24"/>
                <w:lang w:eastAsia="en-GB"/>
              </w:rPr>
            </w:pPr>
            <w:r w:rsidRPr="0077738E">
              <w:rPr>
                <w:rFonts w:ascii="Arial" w:eastAsia="Times New Roman" w:hAnsi="Arial" w:cs="Arial"/>
                <w:sz w:val="24"/>
                <w:szCs w:val="24"/>
                <w:lang w:eastAsia="en-GB"/>
              </w:rPr>
              <w:t>£10,000 - £49,999</w:t>
            </w:r>
          </w:p>
        </w:tc>
        <w:tc>
          <w:tcPr>
            <w:tcW w:w="1276" w:type="dxa"/>
            <w:shd w:val="clear" w:color="auto" w:fill="auto"/>
            <w:vAlign w:val="center"/>
          </w:tcPr>
          <w:p w14:paraId="309BC59F" w14:textId="77777777" w:rsidR="00C74952" w:rsidRPr="0077738E" w:rsidRDefault="00C74952" w:rsidP="002F24A3">
            <w:pPr>
              <w:spacing w:after="0" w:line="240" w:lineRule="auto"/>
              <w:jc w:val="center"/>
              <w:rPr>
                <w:rFonts w:ascii="Arial" w:eastAsia="Times New Roman" w:hAnsi="Arial" w:cs="Arial"/>
                <w:sz w:val="24"/>
                <w:szCs w:val="24"/>
                <w:lang w:eastAsia="en-GB"/>
              </w:rPr>
            </w:pPr>
            <w:r w:rsidRPr="0077738E">
              <w:rPr>
                <w:rFonts w:ascii="Arial" w:eastAsia="Times New Roman" w:hAnsi="Arial" w:cs="Arial"/>
                <w:sz w:val="24"/>
                <w:szCs w:val="24"/>
                <w:lang w:eastAsia="en-GB"/>
              </w:rPr>
              <w:t>21</w:t>
            </w:r>
          </w:p>
        </w:tc>
        <w:tc>
          <w:tcPr>
            <w:tcW w:w="1701" w:type="dxa"/>
            <w:shd w:val="clear" w:color="auto" w:fill="auto"/>
            <w:vAlign w:val="center"/>
          </w:tcPr>
          <w:p w14:paraId="62F9323C" w14:textId="77777777" w:rsidR="00C74952" w:rsidRPr="0077738E" w:rsidRDefault="00C74952" w:rsidP="002F24A3">
            <w:pPr>
              <w:spacing w:after="0" w:line="240" w:lineRule="auto"/>
              <w:jc w:val="center"/>
              <w:rPr>
                <w:rFonts w:ascii="Arial" w:eastAsia="Times New Roman" w:hAnsi="Arial" w:cs="Arial"/>
                <w:sz w:val="24"/>
                <w:szCs w:val="24"/>
                <w:lang w:eastAsia="en-GB"/>
              </w:rPr>
            </w:pPr>
            <w:r w:rsidRPr="0077738E">
              <w:rPr>
                <w:rFonts w:ascii="Arial" w:eastAsia="Times New Roman" w:hAnsi="Arial" w:cs="Arial"/>
                <w:sz w:val="24"/>
                <w:szCs w:val="24"/>
                <w:lang w:eastAsia="en-GB"/>
              </w:rPr>
              <w:t>£609,766</w:t>
            </w:r>
          </w:p>
        </w:tc>
        <w:tc>
          <w:tcPr>
            <w:tcW w:w="992" w:type="dxa"/>
            <w:vMerge/>
            <w:shd w:val="clear" w:color="auto" w:fill="D9D9D9" w:themeFill="background1" w:themeFillShade="D9"/>
          </w:tcPr>
          <w:p w14:paraId="0D0920F6" w14:textId="77777777" w:rsidR="00C74952" w:rsidRPr="0077738E" w:rsidRDefault="00C74952" w:rsidP="002F24A3">
            <w:pPr>
              <w:spacing w:after="0" w:line="240" w:lineRule="auto"/>
              <w:jc w:val="center"/>
              <w:rPr>
                <w:rFonts w:ascii="Arial" w:eastAsia="Times New Roman" w:hAnsi="Arial" w:cs="Arial"/>
                <w:color w:val="FF0000"/>
                <w:sz w:val="24"/>
                <w:szCs w:val="24"/>
                <w:lang w:eastAsia="en-GB"/>
              </w:rPr>
            </w:pPr>
          </w:p>
        </w:tc>
        <w:tc>
          <w:tcPr>
            <w:tcW w:w="1843" w:type="dxa"/>
            <w:shd w:val="clear" w:color="auto" w:fill="auto"/>
            <w:vAlign w:val="center"/>
          </w:tcPr>
          <w:p w14:paraId="324225D4" w14:textId="77777777" w:rsidR="00C74952" w:rsidRPr="0077738E" w:rsidRDefault="00C74952" w:rsidP="002F24A3">
            <w:pPr>
              <w:spacing w:after="0" w:line="240" w:lineRule="auto"/>
              <w:jc w:val="center"/>
              <w:rPr>
                <w:rFonts w:ascii="Arial" w:eastAsia="Times New Roman" w:hAnsi="Arial" w:cs="Arial"/>
                <w:sz w:val="24"/>
                <w:szCs w:val="24"/>
                <w:lang w:eastAsia="en-GB"/>
              </w:rPr>
            </w:pPr>
            <w:r w:rsidRPr="0077738E">
              <w:rPr>
                <w:rFonts w:ascii="Arial" w:eastAsia="Times New Roman" w:hAnsi="Arial" w:cs="Arial"/>
                <w:sz w:val="24"/>
                <w:szCs w:val="24"/>
                <w:lang w:eastAsia="en-GB"/>
              </w:rPr>
              <w:t>78</w:t>
            </w:r>
          </w:p>
        </w:tc>
        <w:tc>
          <w:tcPr>
            <w:tcW w:w="2126" w:type="dxa"/>
            <w:shd w:val="clear" w:color="auto" w:fill="auto"/>
            <w:vAlign w:val="center"/>
          </w:tcPr>
          <w:p w14:paraId="2EB21327" w14:textId="77777777" w:rsidR="00C74952" w:rsidRPr="0077738E" w:rsidRDefault="00C74952" w:rsidP="002F24A3">
            <w:pPr>
              <w:spacing w:after="0" w:line="240" w:lineRule="auto"/>
              <w:jc w:val="center"/>
              <w:rPr>
                <w:rFonts w:ascii="Arial" w:eastAsia="Times New Roman" w:hAnsi="Arial" w:cs="Arial"/>
                <w:sz w:val="24"/>
                <w:szCs w:val="24"/>
                <w:lang w:eastAsia="en-GB"/>
              </w:rPr>
            </w:pPr>
            <w:r w:rsidRPr="0077738E">
              <w:rPr>
                <w:rFonts w:ascii="Arial" w:eastAsia="Times New Roman" w:hAnsi="Arial" w:cs="Arial"/>
                <w:sz w:val="24"/>
                <w:szCs w:val="24"/>
                <w:lang w:eastAsia="en-GB"/>
              </w:rPr>
              <w:t>£1,975,414</w:t>
            </w:r>
          </w:p>
        </w:tc>
      </w:tr>
      <w:tr w:rsidR="00C74952" w:rsidRPr="0077738E" w14:paraId="1390F302" w14:textId="77777777" w:rsidTr="0077738E">
        <w:trPr>
          <w:trHeight w:val="255"/>
        </w:trPr>
        <w:tc>
          <w:tcPr>
            <w:tcW w:w="2552" w:type="dxa"/>
            <w:shd w:val="clear" w:color="auto" w:fill="auto"/>
            <w:vAlign w:val="center"/>
            <w:hideMark/>
          </w:tcPr>
          <w:p w14:paraId="04D6E204" w14:textId="77777777" w:rsidR="00C74952" w:rsidRPr="0077738E" w:rsidRDefault="00C74952" w:rsidP="002F24A3">
            <w:pPr>
              <w:spacing w:after="0" w:line="240" w:lineRule="auto"/>
              <w:rPr>
                <w:rFonts w:ascii="Arial" w:eastAsia="Times New Roman" w:hAnsi="Arial" w:cs="Arial"/>
                <w:sz w:val="24"/>
                <w:szCs w:val="24"/>
                <w:lang w:eastAsia="en-GB"/>
              </w:rPr>
            </w:pPr>
            <w:r w:rsidRPr="0077738E">
              <w:rPr>
                <w:rFonts w:ascii="Arial" w:eastAsia="Times New Roman" w:hAnsi="Arial" w:cs="Arial"/>
                <w:sz w:val="24"/>
                <w:szCs w:val="24"/>
                <w:lang w:eastAsia="en-GB"/>
              </w:rPr>
              <w:t>£50,000 - £181,301</w:t>
            </w:r>
          </w:p>
        </w:tc>
        <w:tc>
          <w:tcPr>
            <w:tcW w:w="1276" w:type="dxa"/>
            <w:shd w:val="clear" w:color="auto" w:fill="auto"/>
            <w:vAlign w:val="center"/>
          </w:tcPr>
          <w:p w14:paraId="42A96BCD" w14:textId="77777777" w:rsidR="00C74952" w:rsidRPr="0077738E" w:rsidRDefault="00C74952" w:rsidP="002F24A3">
            <w:pPr>
              <w:spacing w:after="0" w:line="240" w:lineRule="auto"/>
              <w:jc w:val="center"/>
              <w:rPr>
                <w:rFonts w:ascii="Arial" w:eastAsia="Times New Roman" w:hAnsi="Arial" w:cs="Arial"/>
                <w:sz w:val="24"/>
                <w:szCs w:val="24"/>
                <w:lang w:eastAsia="en-GB"/>
              </w:rPr>
            </w:pPr>
            <w:r w:rsidRPr="0077738E">
              <w:rPr>
                <w:rFonts w:ascii="Arial" w:eastAsia="Times New Roman" w:hAnsi="Arial" w:cs="Arial"/>
                <w:sz w:val="24"/>
                <w:szCs w:val="24"/>
                <w:lang w:eastAsia="en-GB"/>
              </w:rPr>
              <w:t>6</w:t>
            </w:r>
          </w:p>
        </w:tc>
        <w:tc>
          <w:tcPr>
            <w:tcW w:w="1701" w:type="dxa"/>
            <w:shd w:val="clear" w:color="auto" w:fill="auto"/>
            <w:vAlign w:val="center"/>
          </w:tcPr>
          <w:p w14:paraId="78996D38" w14:textId="77777777" w:rsidR="00C74952" w:rsidRPr="0077738E" w:rsidRDefault="00C74952" w:rsidP="002F24A3">
            <w:pPr>
              <w:spacing w:after="0" w:line="240" w:lineRule="auto"/>
              <w:jc w:val="center"/>
              <w:rPr>
                <w:rFonts w:ascii="Arial" w:eastAsia="Times New Roman" w:hAnsi="Arial" w:cs="Arial"/>
                <w:sz w:val="24"/>
                <w:szCs w:val="24"/>
                <w:lang w:eastAsia="en-GB"/>
              </w:rPr>
            </w:pPr>
            <w:r w:rsidRPr="0077738E">
              <w:rPr>
                <w:rFonts w:ascii="Arial" w:eastAsia="Times New Roman" w:hAnsi="Arial" w:cs="Arial"/>
                <w:sz w:val="24"/>
                <w:szCs w:val="24"/>
                <w:lang w:eastAsia="en-GB"/>
              </w:rPr>
              <w:t>£423,194</w:t>
            </w:r>
          </w:p>
        </w:tc>
        <w:tc>
          <w:tcPr>
            <w:tcW w:w="992" w:type="dxa"/>
            <w:vMerge/>
            <w:shd w:val="clear" w:color="auto" w:fill="D9D9D9" w:themeFill="background1" w:themeFillShade="D9"/>
          </w:tcPr>
          <w:p w14:paraId="310004D1" w14:textId="77777777" w:rsidR="00C74952" w:rsidRPr="0077738E" w:rsidRDefault="00C74952" w:rsidP="002F24A3">
            <w:pPr>
              <w:spacing w:after="0" w:line="240" w:lineRule="auto"/>
              <w:jc w:val="center"/>
              <w:rPr>
                <w:rFonts w:ascii="Arial" w:eastAsia="Times New Roman" w:hAnsi="Arial" w:cs="Arial"/>
                <w:color w:val="FF0000"/>
                <w:sz w:val="24"/>
                <w:szCs w:val="24"/>
                <w:lang w:eastAsia="en-GB"/>
              </w:rPr>
            </w:pPr>
          </w:p>
        </w:tc>
        <w:tc>
          <w:tcPr>
            <w:tcW w:w="1843" w:type="dxa"/>
            <w:shd w:val="clear" w:color="auto" w:fill="auto"/>
            <w:vAlign w:val="center"/>
          </w:tcPr>
          <w:p w14:paraId="68C588FC" w14:textId="77777777" w:rsidR="00C74952" w:rsidRPr="0077738E" w:rsidRDefault="00C74952" w:rsidP="002F24A3">
            <w:pPr>
              <w:spacing w:after="0" w:line="240" w:lineRule="auto"/>
              <w:jc w:val="center"/>
              <w:rPr>
                <w:rFonts w:ascii="Arial" w:eastAsia="Times New Roman" w:hAnsi="Arial" w:cs="Arial"/>
                <w:sz w:val="24"/>
                <w:szCs w:val="24"/>
                <w:lang w:eastAsia="en-GB"/>
              </w:rPr>
            </w:pPr>
            <w:r w:rsidRPr="0077738E">
              <w:rPr>
                <w:rFonts w:ascii="Arial" w:eastAsia="Times New Roman" w:hAnsi="Arial" w:cs="Arial"/>
                <w:sz w:val="24"/>
                <w:szCs w:val="24"/>
                <w:lang w:eastAsia="en-GB"/>
              </w:rPr>
              <w:t>28</w:t>
            </w:r>
          </w:p>
        </w:tc>
        <w:tc>
          <w:tcPr>
            <w:tcW w:w="2126" w:type="dxa"/>
            <w:shd w:val="clear" w:color="auto" w:fill="auto"/>
            <w:vAlign w:val="center"/>
          </w:tcPr>
          <w:p w14:paraId="7D251B30" w14:textId="77777777" w:rsidR="00C74952" w:rsidRPr="0077738E" w:rsidRDefault="00C74952" w:rsidP="002F24A3">
            <w:pPr>
              <w:spacing w:after="0" w:line="240" w:lineRule="auto"/>
              <w:jc w:val="center"/>
              <w:rPr>
                <w:rFonts w:ascii="Arial" w:eastAsia="Times New Roman" w:hAnsi="Arial" w:cs="Arial"/>
                <w:sz w:val="24"/>
                <w:szCs w:val="24"/>
                <w:lang w:eastAsia="en-GB"/>
              </w:rPr>
            </w:pPr>
            <w:r w:rsidRPr="0077738E">
              <w:rPr>
                <w:rFonts w:ascii="Arial" w:eastAsia="Times New Roman" w:hAnsi="Arial" w:cs="Arial"/>
                <w:sz w:val="24"/>
                <w:szCs w:val="24"/>
                <w:lang w:eastAsia="en-GB"/>
              </w:rPr>
              <w:t>£2,451,491</w:t>
            </w:r>
          </w:p>
        </w:tc>
      </w:tr>
      <w:tr w:rsidR="00C74952" w:rsidRPr="0077738E" w14:paraId="67F7A702" w14:textId="77777777" w:rsidTr="0077738E">
        <w:trPr>
          <w:trHeight w:val="255"/>
        </w:trPr>
        <w:tc>
          <w:tcPr>
            <w:tcW w:w="2552" w:type="dxa"/>
            <w:shd w:val="clear" w:color="auto" w:fill="auto"/>
            <w:vAlign w:val="center"/>
            <w:hideMark/>
          </w:tcPr>
          <w:p w14:paraId="3AC73CDD" w14:textId="77777777" w:rsidR="00C74952" w:rsidRPr="0077738E" w:rsidRDefault="00C74952" w:rsidP="002F24A3">
            <w:pPr>
              <w:spacing w:after="0" w:line="240" w:lineRule="auto"/>
              <w:rPr>
                <w:rFonts w:ascii="Arial" w:eastAsia="Times New Roman" w:hAnsi="Arial" w:cs="Arial"/>
                <w:sz w:val="24"/>
                <w:szCs w:val="24"/>
                <w:lang w:eastAsia="en-GB"/>
              </w:rPr>
            </w:pPr>
            <w:r w:rsidRPr="0077738E">
              <w:rPr>
                <w:rFonts w:ascii="Arial" w:eastAsia="Times New Roman" w:hAnsi="Arial" w:cs="Arial"/>
                <w:sz w:val="24"/>
                <w:szCs w:val="24"/>
                <w:lang w:eastAsia="en-GB"/>
              </w:rPr>
              <w:t>£181,302</w:t>
            </w:r>
          </w:p>
        </w:tc>
        <w:tc>
          <w:tcPr>
            <w:tcW w:w="1276" w:type="dxa"/>
            <w:shd w:val="clear" w:color="auto" w:fill="auto"/>
            <w:vAlign w:val="center"/>
          </w:tcPr>
          <w:p w14:paraId="0876B96A" w14:textId="77777777" w:rsidR="00C74952" w:rsidRPr="0077738E" w:rsidRDefault="00C74952" w:rsidP="002F24A3">
            <w:pPr>
              <w:spacing w:after="0" w:line="240" w:lineRule="auto"/>
              <w:jc w:val="center"/>
              <w:rPr>
                <w:rFonts w:ascii="Arial" w:eastAsia="Times New Roman" w:hAnsi="Arial" w:cs="Arial"/>
                <w:sz w:val="24"/>
                <w:szCs w:val="24"/>
                <w:lang w:eastAsia="en-GB"/>
              </w:rPr>
            </w:pPr>
            <w:r w:rsidRPr="0077738E">
              <w:rPr>
                <w:rFonts w:ascii="Arial" w:eastAsia="Times New Roman" w:hAnsi="Arial" w:cs="Arial"/>
                <w:sz w:val="24"/>
                <w:szCs w:val="24"/>
                <w:lang w:eastAsia="en-GB"/>
              </w:rPr>
              <w:t>7</w:t>
            </w:r>
          </w:p>
        </w:tc>
        <w:tc>
          <w:tcPr>
            <w:tcW w:w="1701" w:type="dxa"/>
            <w:shd w:val="clear" w:color="auto" w:fill="auto"/>
            <w:vAlign w:val="center"/>
          </w:tcPr>
          <w:p w14:paraId="4DB3C3CA" w14:textId="77777777" w:rsidR="00C74952" w:rsidRPr="0077738E" w:rsidRDefault="00C74952" w:rsidP="002F24A3">
            <w:pPr>
              <w:spacing w:after="0" w:line="240" w:lineRule="auto"/>
              <w:jc w:val="center"/>
              <w:rPr>
                <w:rFonts w:ascii="Arial" w:eastAsia="Times New Roman" w:hAnsi="Arial" w:cs="Arial"/>
                <w:sz w:val="24"/>
                <w:szCs w:val="24"/>
                <w:lang w:eastAsia="en-GB"/>
              </w:rPr>
            </w:pPr>
            <w:r w:rsidRPr="0077738E">
              <w:rPr>
                <w:rFonts w:ascii="Arial" w:eastAsia="Times New Roman" w:hAnsi="Arial" w:cs="Arial"/>
                <w:sz w:val="24"/>
                <w:szCs w:val="24"/>
                <w:lang w:eastAsia="en-GB"/>
              </w:rPr>
              <w:t>£3,650,000</w:t>
            </w:r>
          </w:p>
        </w:tc>
        <w:tc>
          <w:tcPr>
            <w:tcW w:w="992" w:type="dxa"/>
            <w:vMerge/>
            <w:shd w:val="clear" w:color="auto" w:fill="D9D9D9" w:themeFill="background1" w:themeFillShade="D9"/>
          </w:tcPr>
          <w:p w14:paraId="046B03A3" w14:textId="77777777" w:rsidR="00C74952" w:rsidRPr="0077738E" w:rsidRDefault="00C74952" w:rsidP="002F24A3">
            <w:pPr>
              <w:spacing w:after="0" w:line="240" w:lineRule="auto"/>
              <w:jc w:val="center"/>
              <w:rPr>
                <w:rFonts w:ascii="Arial" w:eastAsia="Times New Roman" w:hAnsi="Arial" w:cs="Arial"/>
                <w:color w:val="FF0000"/>
                <w:sz w:val="24"/>
                <w:szCs w:val="24"/>
                <w:lang w:eastAsia="en-GB"/>
              </w:rPr>
            </w:pPr>
          </w:p>
        </w:tc>
        <w:tc>
          <w:tcPr>
            <w:tcW w:w="1843" w:type="dxa"/>
            <w:shd w:val="clear" w:color="auto" w:fill="auto"/>
            <w:vAlign w:val="center"/>
          </w:tcPr>
          <w:p w14:paraId="1877433B" w14:textId="77777777" w:rsidR="00C74952" w:rsidRPr="0077738E" w:rsidRDefault="00C74952" w:rsidP="002F24A3">
            <w:pPr>
              <w:spacing w:after="0" w:line="240" w:lineRule="auto"/>
              <w:jc w:val="center"/>
              <w:rPr>
                <w:rFonts w:ascii="Arial" w:eastAsia="Times New Roman" w:hAnsi="Arial" w:cs="Arial"/>
                <w:sz w:val="24"/>
                <w:szCs w:val="24"/>
                <w:lang w:eastAsia="en-GB"/>
              </w:rPr>
            </w:pPr>
            <w:r w:rsidRPr="0077738E">
              <w:rPr>
                <w:rFonts w:ascii="Arial" w:eastAsia="Times New Roman" w:hAnsi="Arial" w:cs="Arial"/>
                <w:sz w:val="24"/>
                <w:szCs w:val="24"/>
                <w:lang w:eastAsia="en-GB"/>
              </w:rPr>
              <w:t>13</w:t>
            </w:r>
          </w:p>
        </w:tc>
        <w:tc>
          <w:tcPr>
            <w:tcW w:w="2126" w:type="dxa"/>
            <w:shd w:val="clear" w:color="auto" w:fill="auto"/>
            <w:vAlign w:val="center"/>
          </w:tcPr>
          <w:p w14:paraId="325AFF0F" w14:textId="77777777" w:rsidR="00C74952" w:rsidRPr="0077738E" w:rsidRDefault="00C74952" w:rsidP="002F24A3">
            <w:pPr>
              <w:spacing w:after="0" w:line="240" w:lineRule="auto"/>
              <w:jc w:val="center"/>
              <w:rPr>
                <w:rFonts w:ascii="Arial" w:eastAsia="Times New Roman" w:hAnsi="Arial" w:cs="Arial"/>
                <w:sz w:val="24"/>
                <w:szCs w:val="24"/>
                <w:lang w:eastAsia="en-GB"/>
              </w:rPr>
            </w:pPr>
            <w:r w:rsidRPr="0077738E">
              <w:rPr>
                <w:rFonts w:ascii="Arial" w:eastAsia="Times New Roman" w:hAnsi="Arial" w:cs="Arial"/>
                <w:sz w:val="24"/>
                <w:szCs w:val="24"/>
                <w:lang w:eastAsia="en-GB"/>
              </w:rPr>
              <w:t>£8,572,471</w:t>
            </w:r>
          </w:p>
        </w:tc>
      </w:tr>
      <w:tr w:rsidR="00C74952" w:rsidRPr="0077738E" w14:paraId="0DFF5F22" w14:textId="77777777" w:rsidTr="0077738E">
        <w:trPr>
          <w:trHeight w:val="255"/>
        </w:trPr>
        <w:tc>
          <w:tcPr>
            <w:tcW w:w="2552" w:type="dxa"/>
            <w:shd w:val="clear" w:color="auto" w:fill="auto"/>
            <w:vAlign w:val="center"/>
          </w:tcPr>
          <w:p w14:paraId="22CED949" w14:textId="77777777" w:rsidR="00C74952" w:rsidRPr="0077738E" w:rsidRDefault="00C74952" w:rsidP="002F24A3">
            <w:pPr>
              <w:spacing w:after="0" w:line="240" w:lineRule="auto"/>
              <w:rPr>
                <w:rFonts w:ascii="Arial" w:eastAsia="Times New Roman" w:hAnsi="Arial" w:cs="Arial"/>
                <w:b/>
                <w:bCs/>
                <w:sz w:val="24"/>
                <w:szCs w:val="24"/>
                <w:highlight w:val="yellow"/>
                <w:lang w:eastAsia="en-GB"/>
              </w:rPr>
            </w:pPr>
            <w:r w:rsidRPr="0077738E">
              <w:rPr>
                <w:rFonts w:ascii="Arial" w:eastAsia="Times New Roman" w:hAnsi="Arial" w:cs="Arial"/>
                <w:b/>
                <w:bCs/>
                <w:sz w:val="24"/>
                <w:szCs w:val="24"/>
                <w:lang w:eastAsia="en-GB"/>
              </w:rPr>
              <w:t>Totals</w:t>
            </w:r>
          </w:p>
        </w:tc>
        <w:tc>
          <w:tcPr>
            <w:tcW w:w="1276" w:type="dxa"/>
            <w:shd w:val="clear" w:color="auto" w:fill="auto"/>
            <w:vAlign w:val="center"/>
          </w:tcPr>
          <w:p w14:paraId="74728C06" w14:textId="77777777" w:rsidR="00C74952" w:rsidRPr="0077738E" w:rsidRDefault="00C74952" w:rsidP="002F24A3">
            <w:pPr>
              <w:spacing w:after="0" w:line="240" w:lineRule="auto"/>
              <w:jc w:val="center"/>
              <w:rPr>
                <w:rFonts w:ascii="Arial" w:eastAsia="Times New Roman" w:hAnsi="Arial" w:cs="Arial"/>
                <w:b/>
                <w:sz w:val="24"/>
                <w:szCs w:val="24"/>
                <w:lang w:eastAsia="en-GB"/>
              </w:rPr>
            </w:pPr>
            <w:r w:rsidRPr="0077738E">
              <w:rPr>
                <w:rFonts w:ascii="Arial" w:eastAsia="Times New Roman" w:hAnsi="Arial" w:cs="Arial"/>
                <w:b/>
                <w:sz w:val="24"/>
                <w:szCs w:val="24"/>
                <w:lang w:eastAsia="en-GB"/>
              </w:rPr>
              <w:t>34</w:t>
            </w:r>
          </w:p>
        </w:tc>
        <w:tc>
          <w:tcPr>
            <w:tcW w:w="1701" w:type="dxa"/>
            <w:shd w:val="clear" w:color="auto" w:fill="auto"/>
            <w:vAlign w:val="center"/>
          </w:tcPr>
          <w:p w14:paraId="6972BF75" w14:textId="77777777" w:rsidR="00C74952" w:rsidRPr="0077738E" w:rsidRDefault="00C74952" w:rsidP="002F24A3">
            <w:pPr>
              <w:spacing w:after="0" w:line="240" w:lineRule="auto"/>
              <w:jc w:val="center"/>
              <w:rPr>
                <w:rFonts w:ascii="Arial" w:eastAsia="Times New Roman" w:hAnsi="Arial" w:cs="Arial"/>
                <w:b/>
                <w:sz w:val="24"/>
                <w:szCs w:val="24"/>
                <w:lang w:eastAsia="en-GB"/>
              </w:rPr>
            </w:pPr>
            <w:r w:rsidRPr="0077738E">
              <w:rPr>
                <w:rFonts w:ascii="Arial" w:eastAsia="Times New Roman" w:hAnsi="Arial" w:cs="Arial"/>
                <w:b/>
                <w:sz w:val="24"/>
                <w:szCs w:val="24"/>
                <w:lang w:eastAsia="en-GB"/>
              </w:rPr>
              <w:t>£4,682,960</w:t>
            </w:r>
          </w:p>
        </w:tc>
        <w:tc>
          <w:tcPr>
            <w:tcW w:w="992" w:type="dxa"/>
            <w:vMerge/>
            <w:shd w:val="clear" w:color="auto" w:fill="D9D9D9" w:themeFill="background1" w:themeFillShade="D9"/>
          </w:tcPr>
          <w:p w14:paraId="7227E050" w14:textId="77777777" w:rsidR="00C74952" w:rsidRPr="0077738E" w:rsidRDefault="00C74952" w:rsidP="002F24A3">
            <w:pPr>
              <w:spacing w:after="0" w:line="240" w:lineRule="auto"/>
              <w:jc w:val="center"/>
              <w:rPr>
                <w:rFonts w:ascii="Arial" w:eastAsia="Times New Roman" w:hAnsi="Arial" w:cs="Arial"/>
                <w:b/>
                <w:color w:val="FF0000"/>
                <w:sz w:val="24"/>
                <w:szCs w:val="24"/>
                <w:lang w:eastAsia="en-GB"/>
              </w:rPr>
            </w:pPr>
          </w:p>
        </w:tc>
        <w:tc>
          <w:tcPr>
            <w:tcW w:w="1843" w:type="dxa"/>
            <w:shd w:val="clear" w:color="auto" w:fill="auto"/>
            <w:vAlign w:val="center"/>
          </w:tcPr>
          <w:p w14:paraId="7ED56414" w14:textId="77777777" w:rsidR="00C74952" w:rsidRPr="0077738E" w:rsidRDefault="00C74952" w:rsidP="002F24A3">
            <w:pPr>
              <w:spacing w:after="0" w:line="240" w:lineRule="auto"/>
              <w:jc w:val="center"/>
              <w:rPr>
                <w:rFonts w:ascii="Arial" w:eastAsia="Times New Roman" w:hAnsi="Arial" w:cs="Arial"/>
                <w:b/>
                <w:sz w:val="24"/>
                <w:szCs w:val="24"/>
                <w:lang w:eastAsia="en-GB"/>
              </w:rPr>
            </w:pPr>
            <w:r w:rsidRPr="0077738E">
              <w:rPr>
                <w:rFonts w:ascii="Arial" w:eastAsia="Times New Roman" w:hAnsi="Arial" w:cs="Arial"/>
                <w:b/>
                <w:sz w:val="24"/>
                <w:szCs w:val="24"/>
                <w:lang w:eastAsia="en-GB"/>
              </w:rPr>
              <w:t>149</w:t>
            </w:r>
          </w:p>
        </w:tc>
        <w:tc>
          <w:tcPr>
            <w:tcW w:w="2126" w:type="dxa"/>
            <w:shd w:val="clear" w:color="auto" w:fill="auto"/>
            <w:vAlign w:val="center"/>
          </w:tcPr>
          <w:p w14:paraId="5B6D5FC1" w14:textId="77777777" w:rsidR="00C74952" w:rsidRPr="0077738E" w:rsidRDefault="00C74952" w:rsidP="002F24A3">
            <w:pPr>
              <w:spacing w:after="0" w:line="240" w:lineRule="auto"/>
              <w:jc w:val="center"/>
              <w:rPr>
                <w:rFonts w:ascii="Arial" w:eastAsia="Times New Roman" w:hAnsi="Arial" w:cs="Arial"/>
                <w:b/>
                <w:sz w:val="24"/>
                <w:szCs w:val="24"/>
                <w:lang w:eastAsia="en-GB"/>
              </w:rPr>
            </w:pPr>
            <w:r w:rsidRPr="0077738E">
              <w:rPr>
                <w:rFonts w:ascii="Arial" w:eastAsia="Times New Roman" w:hAnsi="Arial" w:cs="Arial"/>
                <w:b/>
                <w:sz w:val="24"/>
                <w:szCs w:val="24"/>
                <w:lang w:eastAsia="en-GB"/>
              </w:rPr>
              <w:t>£13,217,038</w:t>
            </w:r>
          </w:p>
        </w:tc>
      </w:tr>
    </w:tbl>
    <w:p w14:paraId="18F16409" w14:textId="77777777" w:rsidR="00C74952" w:rsidRPr="00070B35" w:rsidRDefault="00C74952" w:rsidP="00C74952">
      <w:pPr>
        <w:spacing w:after="0" w:line="240" w:lineRule="auto"/>
        <w:rPr>
          <w:rFonts w:ascii="Arial" w:eastAsia="Times New Roman" w:hAnsi="Arial" w:cs="Arial"/>
          <w:b/>
          <w:bCs/>
          <w:color w:val="FF0000"/>
          <w:highlight w:val="yellow"/>
          <w:lang w:eastAsia="en-GB"/>
        </w:rPr>
        <w:sectPr w:rsidR="00C74952" w:rsidRPr="00070B35" w:rsidSect="00C062A1">
          <w:type w:val="continuous"/>
          <w:pgSz w:w="11906" w:h="16838"/>
          <w:pgMar w:top="1440" w:right="707" w:bottom="1440" w:left="709" w:header="708" w:footer="708" w:gutter="0"/>
          <w:cols w:space="708"/>
          <w:docGrid w:linePitch="360"/>
        </w:sectPr>
      </w:pPr>
    </w:p>
    <w:p w14:paraId="7F976816" w14:textId="77777777" w:rsidR="00C74952" w:rsidRPr="0077738E" w:rsidRDefault="00C74952" w:rsidP="00C74952">
      <w:pPr>
        <w:pStyle w:val="ListParagraph"/>
        <w:numPr>
          <w:ilvl w:val="2"/>
          <w:numId w:val="24"/>
        </w:numPr>
        <w:spacing w:after="0" w:line="240" w:lineRule="auto"/>
        <w:ind w:left="709" w:hanging="709"/>
        <w:rPr>
          <w:rFonts w:ascii="Arial" w:hAnsi="Arial" w:cs="Arial"/>
          <w:b/>
          <w:sz w:val="24"/>
          <w:szCs w:val="24"/>
        </w:rPr>
      </w:pPr>
      <w:r w:rsidRPr="0077738E">
        <w:rPr>
          <w:rFonts w:ascii="Arial" w:hAnsi="Arial" w:cs="Arial"/>
          <w:b/>
          <w:sz w:val="24"/>
          <w:szCs w:val="24"/>
        </w:rPr>
        <w:t>Contract Notices published in 2019/20:</w:t>
      </w:r>
    </w:p>
    <w:p w14:paraId="6E810462" w14:textId="77777777" w:rsidR="00C74952" w:rsidRPr="0077738E" w:rsidRDefault="00C74952" w:rsidP="00C74952">
      <w:pPr>
        <w:spacing w:after="40" w:line="240" w:lineRule="auto"/>
        <w:jc w:val="both"/>
        <w:rPr>
          <w:rFonts w:ascii="Arial" w:hAnsi="Arial" w:cs="Arial"/>
          <w:color w:val="FF0000"/>
          <w:sz w:val="24"/>
          <w:szCs w:val="24"/>
          <w:highlight w:val="yellow"/>
        </w:rPr>
      </w:pPr>
    </w:p>
    <w:tbl>
      <w:tblPr>
        <w:tblW w:w="10490" w:type="dxa"/>
        <w:tblLayout w:type="fixed"/>
        <w:tblLook w:val="04A0" w:firstRow="1" w:lastRow="0" w:firstColumn="1" w:lastColumn="0" w:noHBand="0" w:noVBand="1"/>
      </w:tblPr>
      <w:tblGrid>
        <w:gridCol w:w="2660"/>
        <w:gridCol w:w="2585"/>
        <w:gridCol w:w="1748"/>
        <w:gridCol w:w="1748"/>
        <w:gridCol w:w="1749"/>
      </w:tblGrid>
      <w:tr w:rsidR="00C74952" w:rsidRPr="0077738E" w14:paraId="415717E8" w14:textId="77777777" w:rsidTr="0077738E">
        <w:trPr>
          <w:trHeight w:val="20"/>
        </w:trPr>
        <w:tc>
          <w:tcPr>
            <w:tcW w:w="2660" w:type="dxa"/>
            <w:tcBorders>
              <w:top w:val="nil"/>
              <w:left w:val="nil"/>
              <w:bottom w:val="single" w:sz="8" w:space="0" w:color="auto"/>
              <w:right w:val="nil"/>
            </w:tcBorders>
            <w:shd w:val="clear" w:color="auto" w:fill="FFFFFF" w:themeFill="background1"/>
            <w:noWrap/>
            <w:vAlign w:val="bottom"/>
            <w:hideMark/>
          </w:tcPr>
          <w:p w14:paraId="66920F1F" w14:textId="77777777" w:rsidR="00C74952" w:rsidRPr="0077738E" w:rsidRDefault="00C74952" w:rsidP="002F24A3">
            <w:pPr>
              <w:spacing w:after="0" w:line="240" w:lineRule="auto"/>
              <w:rPr>
                <w:rFonts w:ascii="Arial" w:eastAsia="Times New Roman" w:hAnsi="Arial" w:cs="Arial"/>
                <w:color w:val="FF0000"/>
                <w:sz w:val="24"/>
                <w:szCs w:val="24"/>
                <w:highlight w:val="yellow"/>
                <w:lang w:eastAsia="en-GB"/>
              </w:rPr>
            </w:pPr>
          </w:p>
        </w:tc>
        <w:tc>
          <w:tcPr>
            <w:tcW w:w="2585" w:type="dxa"/>
            <w:tcBorders>
              <w:top w:val="nil"/>
              <w:left w:val="nil"/>
              <w:bottom w:val="single" w:sz="8" w:space="0" w:color="auto"/>
              <w:right w:val="single" w:sz="8" w:space="0" w:color="auto"/>
            </w:tcBorders>
            <w:shd w:val="clear" w:color="auto" w:fill="FFFFFF" w:themeFill="background1"/>
            <w:noWrap/>
            <w:vAlign w:val="bottom"/>
            <w:hideMark/>
          </w:tcPr>
          <w:p w14:paraId="0C5B0B48" w14:textId="77777777" w:rsidR="00C74952" w:rsidRPr="0077738E" w:rsidRDefault="00C74952" w:rsidP="002F24A3">
            <w:pPr>
              <w:spacing w:after="0" w:line="240" w:lineRule="auto"/>
              <w:rPr>
                <w:rFonts w:ascii="Arial" w:eastAsia="Times New Roman" w:hAnsi="Arial" w:cs="Arial"/>
                <w:color w:val="FF0000"/>
                <w:sz w:val="24"/>
                <w:szCs w:val="24"/>
                <w:highlight w:val="yellow"/>
                <w:lang w:eastAsia="en-GB"/>
              </w:rPr>
            </w:pPr>
          </w:p>
        </w:tc>
        <w:tc>
          <w:tcPr>
            <w:tcW w:w="1748"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BCC75AB" w14:textId="77777777" w:rsidR="00C74952" w:rsidRPr="0077738E" w:rsidRDefault="00C74952" w:rsidP="002F24A3">
            <w:pPr>
              <w:spacing w:after="0" w:line="240" w:lineRule="auto"/>
              <w:jc w:val="center"/>
              <w:rPr>
                <w:rFonts w:ascii="Arial" w:eastAsia="Times New Roman" w:hAnsi="Arial" w:cs="Arial"/>
                <w:b/>
                <w:bCs/>
                <w:color w:val="FF0000"/>
                <w:sz w:val="24"/>
                <w:szCs w:val="24"/>
                <w:lang w:eastAsia="en-GB"/>
              </w:rPr>
            </w:pPr>
            <w:r w:rsidRPr="0077738E">
              <w:rPr>
                <w:rFonts w:ascii="Arial" w:eastAsia="Times New Roman" w:hAnsi="Arial" w:cs="Arial"/>
                <w:b/>
                <w:bCs/>
                <w:sz w:val="24"/>
                <w:szCs w:val="24"/>
                <w:lang w:eastAsia="en-GB"/>
              </w:rPr>
              <w:t>2019/20</w:t>
            </w:r>
          </w:p>
        </w:tc>
        <w:tc>
          <w:tcPr>
            <w:tcW w:w="1748"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DCAD08E" w14:textId="77777777" w:rsidR="00C74952" w:rsidRPr="0077738E" w:rsidRDefault="00C74952" w:rsidP="002F24A3">
            <w:pPr>
              <w:spacing w:after="0" w:line="240" w:lineRule="auto"/>
              <w:jc w:val="center"/>
              <w:rPr>
                <w:rFonts w:ascii="Arial" w:eastAsia="Times New Roman" w:hAnsi="Arial" w:cs="Arial"/>
                <w:b/>
                <w:bCs/>
                <w:sz w:val="24"/>
                <w:szCs w:val="24"/>
                <w:lang w:eastAsia="en-GB"/>
              </w:rPr>
            </w:pPr>
            <w:r w:rsidRPr="0077738E">
              <w:rPr>
                <w:rFonts w:ascii="Arial" w:eastAsia="Times New Roman" w:hAnsi="Arial" w:cs="Arial"/>
                <w:b/>
                <w:bCs/>
                <w:sz w:val="24"/>
                <w:szCs w:val="24"/>
                <w:lang w:eastAsia="en-GB"/>
              </w:rPr>
              <w:t>2018/19</w:t>
            </w:r>
          </w:p>
        </w:tc>
        <w:tc>
          <w:tcPr>
            <w:tcW w:w="1749"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8AF8A3D" w14:textId="77777777" w:rsidR="00C74952" w:rsidRPr="0077738E" w:rsidRDefault="00C74952" w:rsidP="002F24A3">
            <w:pPr>
              <w:spacing w:after="0" w:line="240" w:lineRule="auto"/>
              <w:jc w:val="center"/>
              <w:rPr>
                <w:rFonts w:ascii="Arial" w:eastAsia="Times New Roman" w:hAnsi="Arial" w:cs="Arial"/>
                <w:b/>
                <w:bCs/>
                <w:sz w:val="24"/>
                <w:szCs w:val="24"/>
                <w:lang w:eastAsia="en-GB"/>
              </w:rPr>
            </w:pPr>
            <w:r w:rsidRPr="0077738E">
              <w:rPr>
                <w:rFonts w:ascii="Arial" w:eastAsia="Times New Roman" w:hAnsi="Arial" w:cs="Arial"/>
                <w:b/>
                <w:bCs/>
                <w:sz w:val="24"/>
                <w:szCs w:val="24"/>
                <w:lang w:eastAsia="en-GB"/>
              </w:rPr>
              <w:t>2017/18</w:t>
            </w:r>
          </w:p>
        </w:tc>
      </w:tr>
      <w:tr w:rsidR="00C74952" w:rsidRPr="0077738E" w14:paraId="0A941791" w14:textId="77777777" w:rsidTr="0077738E">
        <w:trPr>
          <w:trHeight w:val="20"/>
        </w:trPr>
        <w:tc>
          <w:tcPr>
            <w:tcW w:w="266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453CFFA4" w14:textId="77777777" w:rsidR="00C74952" w:rsidRPr="0077738E" w:rsidRDefault="00C74952" w:rsidP="002F24A3">
            <w:pPr>
              <w:spacing w:after="0" w:line="240" w:lineRule="auto"/>
              <w:rPr>
                <w:rFonts w:ascii="Arial" w:eastAsia="Times New Roman" w:hAnsi="Arial" w:cs="Arial"/>
                <w:b/>
                <w:bCs/>
                <w:sz w:val="24"/>
                <w:szCs w:val="24"/>
                <w:lang w:eastAsia="en-GB"/>
              </w:rPr>
            </w:pPr>
            <w:r w:rsidRPr="0077738E">
              <w:rPr>
                <w:rFonts w:ascii="Arial" w:eastAsia="Times New Roman" w:hAnsi="Arial" w:cs="Arial"/>
                <w:b/>
                <w:bCs/>
                <w:sz w:val="24"/>
                <w:szCs w:val="24"/>
                <w:lang w:eastAsia="en-GB"/>
              </w:rPr>
              <w:t>Site</w:t>
            </w:r>
          </w:p>
        </w:tc>
        <w:tc>
          <w:tcPr>
            <w:tcW w:w="2585"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502800AE" w14:textId="77777777" w:rsidR="00C74952" w:rsidRPr="0077738E" w:rsidRDefault="00C74952" w:rsidP="002F24A3">
            <w:pPr>
              <w:spacing w:after="0" w:line="240" w:lineRule="auto"/>
              <w:rPr>
                <w:rFonts w:ascii="Arial" w:eastAsia="Times New Roman" w:hAnsi="Arial" w:cs="Arial"/>
                <w:b/>
                <w:bCs/>
                <w:sz w:val="24"/>
                <w:szCs w:val="24"/>
                <w:lang w:eastAsia="en-GB"/>
              </w:rPr>
            </w:pPr>
            <w:r w:rsidRPr="0077738E">
              <w:rPr>
                <w:rFonts w:ascii="Arial" w:eastAsia="Times New Roman" w:hAnsi="Arial" w:cs="Arial"/>
                <w:b/>
                <w:bCs/>
                <w:sz w:val="24"/>
                <w:szCs w:val="24"/>
                <w:lang w:eastAsia="en-GB"/>
              </w:rPr>
              <w:t>Notices Published</w:t>
            </w:r>
          </w:p>
        </w:tc>
        <w:tc>
          <w:tcPr>
            <w:tcW w:w="1748"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29AF05B4" w14:textId="77777777" w:rsidR="00C74952" w:rsidRPr="0077738E" w:rsidRDefault="00C74952" w:rsidP="002F24A3">
            <w:pPr>
              <w:spacing w:after="0" w:line="240" w:lineRule="auto"/>
              <w:jc w:val="center"/>
              <w:rPr>
                <w:rFonts w:ascii="Arial" w:eastAsia="Times New Roman" w:hAnsi="Arial" w:cs="Arial"/>
                <w:b/>
                <w:bCs/>
                <w:color w:val="FF0000"/>
                <w:sz w:val="24"/>
                <w:szCs w:val="24"/>
                <w:lang w:eastAsia="en-GB"/>
              </w:rPr>
            </w:pPr>
            <w:r w:rsidRPr="0077738E">
              <w:rPr>
                <w:rFonts w:ascii="Arial" w:eastAsia="Times New Roman" w:hAnsi="Arial" w:cs="Arial"/>
                <w:b/>
                <w:bCs/>
                <w:sz w:val="24"/>
                <w:szCs w:val="24"/>
                <w:lang w:eastAsia="en-GB"/>
              </w:rPr>
              <w:t>Qty</w:t>
            </w:r>
          </w:p>
        </w:tc>
        <w:tc>
          <w:tcPr>
            <w:tcW w:w="1748"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A7A92D9" w14:textId="77777777" w:rsidR="00C74952" w:rsidRPr="0077738E" w:rsidRDefault="00C74952" w:rsidP="002F24A3">
            <w:pPr>
              <w:spacing w:after="0" w:line="240" w:lineRule="auto"/>
              <w:jc w:val="center"/>
              <w:rPr>
                <w:rFonts w:ascii="Arial" w:eastAsia="Times New Roman" w:hAnsi="Arial" w:cs="Arial"/>
                <w:b/>
                <w:bCs/>
                <w:sz w:val="24"/>
                <w:szCs w:val="24"/>
                <w:lang w:eastAsia="en-GB"/>
              </w:rPr>
            </w:pPr>
            <w:r w:rsidRPr="0077738E">
              <w:rPr>
                <w:rFonts w:ascii="Arial" w:eastAsia="Times New Roman" w:hAnsi="Arial" w:cs="Arial"/>
                <w:b/>
                <w:bCs/>
                <w:sz w:val="24"/>
                <w:szCs w:val="24"/>
                <w:lang w:eastAsia="en-GB"/>
              </w:rPr>
              <w:t>Qty</w:t>
            </w:r>
          </w:p>
        </w:tc>
        <w:tc>
          <w:tcPr>
            <w:tcW w:w="1749"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B605B1D" w14:textId="77777777" w:rsidR="00C74952" w:rsidRPr="0077738E" w:rsidRDefault="00C74952" w:rsidP="002F24A3">
            <w:pPr>
              <w:spacing w:after="0" w:line="240" w:lineRule="auto"/>
              <w:jc w:val="center"/>
              <w:rPr>
                <w:rFonts w:ascii="Arial" w:eastAsia="Times New Roman" w:hAnsi="Arial" w:cs="Arial"/>
                <w:b/>
                <w:bCs/>
                <w:sz w:val="24"/>
                <w:szCs w:val="24"/>
                <w:lang w:eastAsia="en-GB"/>
              </w:rPr>
            </w:pPr>
            <w:r w:rsidRPr="0077738E">
              <w:rPr>
                <w:rFonts w:ascii="Arial" w:eastAsia="Times New Roman" w:hAnsi="Arial" w:cs="Arial"/>
                <w:b/>
                <w:bCs/>
                <w:sz w:val="24"/>
                <w:szCs w:val="24"/>
                <w:lang w:eastAsia="en-GB"/>
              </w:rPr>
              <w:t>Qty</w:t>
            </w:r>
          </w:p>
        </w:tc>
      </w:tr>
      <w:tr w:rsidR="00C74952" w:rsidRPr="0077738E" w14:paraId="5C5CE4A3" w14:textId="77777777" w:rsidTr="0077738E">
        <w:trPr>
          <w:trHeight w:val="20"/>
        </w:trPr>
        <w:tc>
          <w:tcPr>
            <w:tcW w:w="2660" w:type="dxa"/>
            <w:vMerge w:val="restart"/>
            <w:tcBorders>
              <w:top w:val="nil"/>
              <w:left w:val="single" w:sz="8" w:space="0" w:color="auto"/>
              <w:bottom w:val="single" w:sz="8" w:space="0" w:color="000000"/>
              <w:right w:val="single" w:sz="8" w:space="0" w:color="auto"/>
            </w:tcBorders>
            <w:shd w:val="clear" w:color="auto" w:fill="auto"/>
            <w:vAlign w:val="center"/>
            <w:hideMark/>
          </w:tcPr>
          <w:p w14:paraId="6E58D9B5" w14:textId="77777777" w:rsidR="00C74952" w:rsidRPr="0077738E" w:rsidRDefault="00C74952" w:rsidP="002F24A3">
            <w:pPr>
              <w:spacing w:after="0" w:line="240" w:lineRule="auto"/>
              <w:rPr>
                <w:rFonts w:ascii="Arial" w:eastAsia="Times New Roman" w:hAnsi="Arial" w:cs="Arial"/>
                <w:sz w:val="24"/>
                <w:szCs w:val="24"/>
                <w:lang w:eastAsia="en-GB"/>
              </w:rPr>
            </w:pPr>
            <w:r w:rsidRPr="0077738E">
              <w:rPr>
                <w:rFonts w:ascii="Arial" w:eastAsia="Times New Roman" w:hAnsi="Arial" w:cs="Arial"/>
                <w:sz w:val="24"/>
                <w:szCs w:val="24"/>
                <w:lang w:eastAsia="en-GB"/>
              </w:rPr>
              <w:t>PCS</w:t>
            </w:r>
          </w:p>
        </w:tc>
        <w:tc>
          <w:tcPr>
            <w:tcW w:w="2585" w:type="dxa"/>
            <w:tcBorders>
              <w:top w:val="nil"/>
              <w:left w:val="nil"/>
              <w:bottom w:val="single" w:sz="8" w:space="0" w:color="auto"/>
              <w:right w:val="single" w:sz="8" w:space="0" w:color="auto"/>
            </w:tcBorders>
            <w:shd w:val="clear" w:color="auto" w:fill="auto"/>
            <w:vAlign w:val="center"/>
            <w:hideMark/>
          </w:tcPr>
          <w:p w14:paraId="61A4F242" w14:textId="77777777" w:rsidR="00C74952" w:rsidRPr="0077738E" w:rsidRDefault="00C74952" w:rsidP="002F24A3">
            <w:pPr>
              <w:spacing w:after="0" w:line="240" w:lineRule="auto"/>
              <w:rPr>
                <w:rFonts w:ascii="Arial" w:eastAsia="Times New Roman" w:hAnsi="Arial" w:cs="Arial"/>
                <w:sz w:val="24"/>
                <w:szCs w:val="24"/>
                <w:lang w:eastAsia="en-GB"/>
              </w:rPr>
            </w:pPr>
            <w:r w:rsidRPr="0077738E">
              <w:rPr>
                <w:rFonts w:ascii="Arial" w:eastAsia="Times New Roman" w:hAnsi="Arial" w:cs="Arial"/>
                <w:sz w:val="24"/>
                <w:szCs w:val="24"/>
                <w:lang w:eastAsia="en-GB"/>
              </w:rPr>
              <w:t>OJEU</w:t>
            </w:r>
          </w:p>
        </w:tc>
        <w:tc>
          <w:tcPr>
            <w:tcW w:w="1748" w:type="dxa"/>
            <w:tcBorders>
              <w:top w:val="single" w:sz="8" w:space="0" w:color="auto"/>
              <w:left w:val="nil"/>
              <w:bottom w:val="single" w:sz="8" w:space="0" w:color="auto"/>
              <w:right w:val="single" w:sz="8" w:space="0" w:color="auto"/>
            </w:tcBorders>
            <w:vAlign w:val="center"/>
          </w:tcPr>
          <w:p w14:paraId="0FEEB169" w14:textId="77777777" w:rsidR="00C74952" w:rsidRPr="0077738E" w:rsidRDefault="00C74952" w:rsidP="002F24A3">
            <w:pPr>
              <w:spacing w:after="0" w:line="240" w:lineRule="auto"/>
              <w:jc w:val="center"/>
              <w:rPr>
                <w:rFonts w:ascii="Arial" w:eastAsia="Times New Roman" w:hAnsi="Arial" w:cs="Arial"/>
                <w:sz w:val="24"/>
                <w:szCs w:val="24"/>
                <w:lang w:eastAsia="en-GB"/>
              </w:rPr>
            </w:pPr>
            <w:r w:rsidRPr="0077738E">
              <w:rPr>
                <w:rFonts w:ascii="Arial" w:eastAsia="Times New Roman" w:hAnsi="Arial" w:cs="Arial"/>
                <w:sz w:val="24"/>
                <w:szCs w:val="24"/>
                <w:lang w:eastAsia="en-GB"/>
              </w:rPr>
              <w:t>4</w:t>
            </w:r>
          </w:p>
        </w:tc>
        <w:tc>
          <w:tcPr>
            <w:tcW w:w="1748" w:type="dxa"/>
            <w:tcBorders>
              <w:top w:val="single" w:sz="8" w:space="0" w:color="auto"/>
              <w:left w:val="single" w:sz="8" w:space="0" w:color="auto"/>
              <w:bottom w:val="single" w:sz="8" w:space="0" w:color="auto"/>
              <w:right w:val="single" w:sz="8" w:space="0" w:color="auto"/>
            </w:tcBorders>
            <w:vAlign w:val="center"/>
          </w:tcPr>
          <w:p w14:paraId="5318BE0B" w14:textId="77777777" w:rsidR="00C74952" w:rsidRPr="0077738E" w:rsidRDefault="00C74952" w:rsidP="002F24A3">
            <w:pPr>
              <w:spacing w:after="0" w:line="240" w:lineRule="auto"/>
              <w:jc w:val="center"/>
              <w:rPr>
                <w:rFonts w:ascii="Arial" w:eastAsia="Times New Roman" w:hAnsi="Arial" w:cs="Arial"/>
                <w:sz w:val="24"/>
                <w:szCs w:val="24"/>
                <w:lang w:eastAsia="en-GB"/>
              </w:rPr>
            </w:pPr>
            <w:r w:rsidRPr="0077738E">
              <w:rPr>
                <w:rFonts w:ascii="Arial" w:eastAsia="Times New Roman" w:hAnsi="Arial" w:cs="Arial"/>
                <w:sz w:val="24"/>
                <w:szCs w:val="24"/>
                <w:lang w:eastAsia="en-GB"/>
              </w:rPr>
              <w:t>1</w:t>
            </w:r>
          </w:p>
        </w:tc>
        <w:tc>
          <w:tcPr>
            <w:tcW w:w="1749" w:type="dxa"/>
            <w:tcBorders>
              <w:top w:val="single" w:sz="8" w:space="0" w:color="auto"/>
              <w:left w:val="single" w:sz="8" w:space="0" w:color="auto"/>
              <w:bottom w:val="single" w:sz="8" w:space="0" w:color="auto"/>
              <w:right w:val="single" w:sz="8" w:space="0" w:color="auto"/>
            </w:tcBorders>
            <w:vAlign w:val="center"/>
          </w:tcPr>
          <w:p w14:paraId="773F8EF9" w14:textId="77777777" w:rsidR="00C74952" w:rsidRPr="0077738E" w:rsidRDefault="00C74952" w:rsidP="002F24A3">
            <w:pPr>
              <w:spacing w:after="0" w:line="240" w:lineRule="auto"/>
              <w:jc w:val="center"/>
              <w:rPr>
                <w:rFonts w:ascii="Arial" w:eastAsia="Times New Roman" w:hAnsi="Arial" w:cs="Arial"/>
                <w:sz w:val="24"/>
                <w:szCs w:val="24"/>
                <w:lang w:eastAsia="en-GB"/>
              </w:rPr>
            </w:pPr>
            <w:r w:rsidRPr="0077738E">
              <w:rPr>
                <w:rFonts w:ascii="Arial" w:eastAsia="Times New Roman" w:hAnsi="Arial" w:cs="Arial"/>
                <w:sz w:val="24"/>
                <w:szCs w:val="24"/>
                <w:lang w:eastAsia="en-GB"/>
              </w:rPr>
              <w:t>2</w:t>
            </w:r>
          </w:p>
        </w:tc>
      </w:tr>
      <w:tr w:rsidR="00C74952" w:rsidRPr="0077738E" w14:paraId="39843AFC" w14:textId="77777777" w:rsidTr="0077738E">
        <w:trPr>
          <w:trHeight w:val="20"/>
        </w:trPr>
        <w:tc>
          <w:tcPr>
            <w:tcW w:w="2660" w:type="dxa"/>
            <w:vMerge/>
            <w:tcBorders>
              <w:top w:val="nil"/>
              <w:left w:val="single" w:sz="8" w:space="0" w:color="auto"/>
              <w:bottom w:val="single" w:sz="8" w:space="0" w:color="000000"/>
              <w:right w:val="single" w:sz="8" w:space="0" w:color="auto"/>
            </w:tcBorders>
            <w:vAlign w:val="center"/>
            <w:hideMark/>
          </w:tcPr>
          <w:p w14:paraId="72BC168E" w14:textId="77777777" w:rsidR="00C74952" w:rsidRPr="0077738E" w:rsidRDefault="00C74952" w:rsidP="002F24A3">
            <w:pPr>
              <w:spacing w:after="0" w:line="240" w:lineRule="auto"/>
              <w:rPr>
                <w:rFonts w:ascii="Arial" w:eastAsia="Times New Roman" w:hAnsi="Arial" w:cs="Arial"/>
                <w:sz w:val="24"/>
                <w:szCs w:val="24"/>
                <w:lang w:eastAsia="en-GB"/>
              </w:rPr>
            </w:pPr>
          </w:p>
        </w:tc>
        <w:tc>
          <w:tcPr>
            <w:tcW w:w="2585" w:type="dxa"/>
            <w:tcBorders>
              <w:top w:val="nil"/>
              <w:left w:val="nil"/>
              <w:bottom w:val="single" w:sz="8" w:space="0" w:color="auto"/>
              <w:right w:val="single" w:sz="8" w:space="0" w:color="auto"/>
            </w:tcBorders>
            <w:shd w:val="clear" w:color="auto" w:fill="auto"/>
            <w:vAlign w:val="center"/>
            <w:hideMark/>
          </w:tcPr>
          <w:p w14:paraId="34BA4185" w14:textId="77777777" w:rsidR="00C74952" w:rsidRPr="0077738E" w:rsidRDefault="00C74952" w:rsidP="002F24A3">
            <w:pPr>
              <w:spacing w:after="0" w:line="240" w:lineRule="auto"/>
              <w:rPr>
                <w:rFonts w:ascii="Arial" w:eastAsia="Times New Roman" w:hAnsi="Arial" w:cs="Arial"/>
                <w:sz w:val="24"/>
                <w:szCs w:val="24"/>
                <w:lang w:eastAsia="en-GB"/>
              </w:rPr>
            </w:pPr>
            <w:r w:rsidRPr="0077738E">
              <w:rPr>
                <w:rFonts w:ascii="Arial" w:eastAsia="Times New Roman" w:hAnsi="Arial" w:cs="Arial"/>
                <w:sz w:val="24"/>
                <w:szCs w:val="24"/>
                <w:lang w:eastAsia="en-GB"/>
              </w:rPr>
              <w:t xml:space="preserve">Non-EU </w:t>
            </w:r>
          </w:p>
        </w:tc>
        <w:tc>
          <w:tcPr>
            <w:tcW w:w="1748" w:type="dxa"/>
            <w:tcBorders>
              <w:top w:val="single" w:sz="8" w:space="0" w:color="auto"/>
              <w:left w:val="nil"/>
              <w:bottom w:val="single" w:sz="8" w:space="0" w:color="auto"/>
              <w:right w:val="single" w:sz="8" w:space="0" w:color="auto"/>
            </w:tcBorders>
            <w:vAlign w:val="center"/>
          </w:tcPr>
          <w:p w14:paraId="68704F93" w14:textId="77777777" w:rsidR="00C74952" w:rsidRPr="0077738E" w:rsidRDefault="00C74952" w:rsidP="002F24A3">
            <w:pPr>
              <w:spacing w:after="0" w:line="240" w:lineRule="auto"/>
              <w:jc w:val="center"/>
              <w:rPr>
                <w:rFonts w:ascii="Arial" w:eastAsia="Times New Roman" w:hAnsi="Arial" w:cs="Arial"/>
                <w:sz w:val="24"/>
                <w:szCs w:val="24"/>
                <w:lang w:eastAsia="en-GB"/>
              </w:rPr>
            </w:pPr>
            <w:r w:rsidRPr="0077738E">
              <w:rPr>
                <w:rFonts w:ascii="Arial" w:eastAsia="Times New Roman" w:hAnsi="Arial" w:cs="Arial"/>
                <w:sz w:val="24"/>
                <w:szCs w:val="24"/>
                <w:lang w:eastAsia="en-GB"/>
              </w:rPr>
              <w:t>11</w:t>
            </w:r>
          </w:p>
        </w:tc>
        <w:tc>
          <w:tcPr>
            <w:tcW w:w="1748" w:type="dxa"/>
            <w:tcBorders>
              <w:top w:val="single" w:sz="8" w:space="0" w:color="auto"/>
              <w:left w:val="single" w:sz="8" w:space="0" w:color="auto"/>
              <w:bottom w:val="single" w:sz="8" w:space="0" w:color="auto"/>
              <w:right w:val="single" w:sz="8" w:space="0" w:color="auto"/>
            </w:tcBorders>
            <w:vAlign w:val="center"/>
          </w:tcPr>
          <w:p w14:paraId="37A9A673" w14:textId="77777777" w:rsidR="00C74952" w:rsidRPr="0077738E" w:rsidRDefault="00C74952" w:rsidP="002F24A3">
            <w:pPr>
              <w:spacing w:after="0" w:line="240" w:lineRule="auto"/>
              <w:jc w:val="center"/>
              <w:rPr>
                <w:rFonts w:ascii="Arial" w:eastAsia="Times New Roman" w:hAnsi="Arial" w:cs="Arial"/>
                <w:sz w:val="24"/>
                <w:szCs w:val="24"/>
                <w:lang w:eastAsia="en-GB"/>
              </w:rPr>
            </w:pPr>
            <w:r w:rsidRPr="0077738E">
              <w:rPr>
                <w:rFonts w:ascii="Arial" w:eastAsia="Times New Roman" w:hAnsi="Arial" w:cs="Arial"/>
                <w:sz w:val="24"/>
                <w:szCs w:val="24"/>
                <w:lang w:eastAsia="en-GB"/>
              </w:rPr>
              <w:t>19</w:t>
            </w:r>
          </w:p>
        </w:tc>
        <w:tc>
          <w:tcPr>
            <w:tcW w:w="1749" w:type="dxa"/>
            <w:tcBorders>
              <w:top w:val="single" w:sz="8" w:space="0" w:color="auto"/>
              <w:left w:val="single" w:sz="8" w:space="0" w:color="auto"/>
              <w:bottom w:val="single" w:sz="8" w:space="0" w:color="auto"/>
              <w:right w:val="single" w:sz="8" w:space="0" w:color="auto"/>
            </w:tcBorders>
            <w:vAlign w:val="center"/>
          </w:tcPr>
          <w:p w14:paraId="026360C6" w14:textId="77777777" w:rsidR="00C74952" w:rsidRPr="0077738E" w:rsidRDefault="00C74952" w:rsidP="002F24A3">
            <w:pPr>
              <w:spacing w:after="0" w:line="240" w:lineRule="auto"/>
              <w:jc w:val="center"/>
              <w:rPr>
                <w:rFonts w:ascii="Arial" w:eastAsia="Times New Roman" w:hAnsi="Arial" w:cs="Arial"/>
                <w:sz w:val="24"/>
                <w:szCs w:val="24"/>
                <w:lang w:eastAsia="en-GB"/>
              </w:rPr>
            </w:pPr>
            <w:r w:rsidRPr="0077738E">
              <w:rPr>
                <w:rFonts w:ascii="Arial" w:eastAsia="Times New Roman" w:hAnsi="Arial" w:cs="Arial"/>
                <w:sz w:val="24"/>
                <w:szCs w:val="24"/>
                <w:lang w:eastAsia="en-GB"/>
              </w:rPr>
              <w:t>10</w:t>
            </w:r>
          </w:p>
        </w:tc>
      </w:tr>
      <w:tr w:rsidR="00C74952" w:rsidRPr="0077738E" w14:paraId="2363B693" w14:textId="77777777" w:rsidTr="0077738E">
        <w:trPr>
          <w:trHeight w:val="20"/>
        </w:trPr>
        <w:tc>
          <w:tcPr>
            <w:tcW w:w="2660" w:type="dxa"/>
            <w:vMerge/>
            <w:tcBorders>
              <w:top w:val="nil"/>
              <w:left w:val="single" w:sz="8" w:space="0" w:color="auto"/>
              <w:bottom w:val="single" w:sz="8" w:space="0" w:color="000000"/>
              <w:right w:val="single" w:sz="8" w:space="0" w:color="auto"/>
            </w:tcBorders>
            <w:vAlign w:val="center"/>
            <w:hideMark/>
          </w:tcPr>
          <w:p w14:paraId="20D7B216" w14:textId="77777777" w:rsidR="00C74952" w:rsidRPr="0077738E" w:rsidRDefault="00C74952" w:rsidP="002F24A3">
            <w:pPr>
              <w:spacing w:after="0" w:line="240" w:lineRule="auto"/>
              <w:rPr>
                <w:rFonts w:ascii="Arial" w:eastAsia="Times New Roman" w:hAnsi="Arial" w:cs="Arial"/>
                <w:sz w:val="24"/>
                <w:szCs w:val="24"/>
                <w:lang w:eastAsia="en-GB"/>
              </w:rPr>
            </w:pPr>
          </w:p>
        </w:tc>
        <w:tc>
          <w:tcPr>
            <w:tcW w:w="2585" w:type="dxa"/>
            <w:tcBorders>
              <w:top w:val="nil"/>
              <w:left w:val="nil"/>
              <w:bottom w:val="single" w:sz="8" w:space="0" w:color="auto"/>
              <w:right w:val="single" w:sz="8" w:space="0" w:color="auto"/>
            </w:tcBorders>
            <w:shd w:val="clear" w:color="auto" w:fill="auto"/>
            <w:vAlign w:val="center"/>
            <w:hideMark/>
          </w:tcPr>
          <w:p w14:paraId="0DD7CCFD" w14:textId="77777777" w:rsidR="00C74952" w:rsidRPr="0077738E" w:rsidRDefault="00C74952" w:rsidP="002F24A3">
            <w:pPr>
              <w:spacing w:after="0" w:line="240" w:lineRule="auto"/>
              <w:rPr>
                <w:rFonts w:ascii="Arial" w:eastAsia="Times New Roman" w:hAnsi="Arial" w:cs="Arial"/>
                <w:sz w:val="24"/>
                <w:szCs w:val="24"/>
                <w:lang w:eastAsia="en-GB"/>
              </w:rPr>
            </w:pPr>
            <w:r w:rsidRPr="0077738E">
              <w:rPr>
                <w:rFonts w:ascii="Arial" w:eastAsia="Times New Roman" w:hAnsi="Arial" w:cs="Arial"/>
                <w:sz w:val="24"/>
                <w:szCs w:val="24"/>
                <w:lang w:eastAsia="en-GB"/>
              </w:rPr>
              <w:t>Quick Quote service</w:t>
            </w:r>
          </w:p>
        </w:tc>
        <w:tc>
          <w:tcPr>
            <w:tcW w:w="1748" w:type="dxa"/>
            <w:tcBorders>
              <w:top w:val="single" w:sz="8" w:space="0" w:color="auto"/>
              <w:left w:val="nil"/>
              <w:bottom w:val="single" w:sz="8" w:space="0" w:color="auto"/>
              <w:right w:val="single" w:sz="8" w:space="0" w:color="auto"/>
            </w:tcBorders>
            <w:vAlign w:val="center"/>
          </w:tcPr>
          <w:p w14:paraId="2ADFB4F7" w14:textId="77777777" w:rsidR="00C74952" w:rsidRPr="0077738E" w:rsidRDefault="00C74952" w:rsidP="002F24A3">
            <w:pPr>
              <w:spacing w:after="0" w:line="240" w:lineRule="auto"/>
              <w:jc w:val="center"/>
              <w:rPr>
                <w:rFonts w:ascii="Arial" w:eastAsia="Times New Roman" w:hAnsi="Arial" w:cs="Arial"/>
                <w:sz w:val="24"/>
                <w:szCs w:val="24"/>
                <w:lang w:eastAsia="en-GB"/>
              </w:rPr>
            </w:pPr>
            <w:r w:rsidRPr="0077738E">
              <w:rPr>
                <w:rFonts w:ascii="Arial" w:eastAsia="Times New Roman" w:hAnsi="Arial" w:cs="Arial"/>
                <w:sz w:val="24"/>
                <w:szCs w:val="24"/>
                <w:lang w:eastAsia="en-GB"/>
              </w:rPr>
              <w:t>22</w:t>
            </w:r>
          </w:p>
        </w:tc>
        <w:tc>
          <w:tcPr>
            <w:tcW w:w="1748" w:type="dxa"/>
            <w:tcBorders>
              <w:top w:val="single" w:sz="8" w:space="0" w:color="auto"/>
              <w:left w:val="single" w:sz="8" w:space="0" w:color="auto"/>
              <w:bottom w:val="single" w:sz="8" w:space="0" w:color="auto"/>
              <w:right w:val="single" w:sz="8" w:space="0" w:color="auto"/>
            </w:tcBorders>
            <w:vAlign w:val="center"/>
          </w:tcPr>
          <w:p w14:paraId="632E4444" w14:textId="77777777" w:rsidR="00C74952" w:rsidRPr="0077738E" w:rsidRDefault="00C74952" w:rsidP="002F24A3">
            <w:pPr>
              <w:spacing w:after="0" w:line="240" w:lineRule="auto"/>
              <w:jc w:val="center"/>
              <w:rPr>
                <w:rFonts w:ascii="Arial" w:eastAsia="Times New Roman" w:hAnsi="Arial" w:cs="Arial"/>
                <w:sz w:val="24"/>
                <w:szCs w:val="24"/>
                <w:lang w:eastAsia="en-GB"/>
              </w:rPr>
            </w:pPr>
            <w:r w:rsidRPr="0077738E">
              <w:rPr>
                <w:rFonts w:ascii="Arial" w:eastAsia="Times New Roman" w:hAnsi="Arial" w:cs="Arial"/>
                <w:sz w:val="24"/>
                <w:szCs w:val="24"/>
                <w:lang w:eastAsia="en-GB"/>
              </w:rPr>
              <w:t>40</w:t>
            </w:r>
          </w:p>
        </w:tc>
        <w:tc>
          <w:tcPr>
            <w:tcW w:w="1749" w:type="dxa"/>
            <w:tcBorders>
              <w:top w:val="single" w:sz="8" w:space="0" w:color="auto"/>
              <w:left w:val="single" w:sz="8" w:space="0" w:color="auto"/>
              <w:bottom w:val="single" w:sz="8" w:space="0" w:color="auto"/>
              <w:right w:val="single" w:sz="8" w:space="0" w:color="auto"/>
            </w:tcBorders>
            <w:vAlign w:val="center"/>
          </w:tcPr>
          <w:p w14:paraId="00FDCB0F" w14:textId="77777777" w:rsidR="00C74952" w:rsidRPr="0077738E" w:rsidRDefault="00C74952" w:rsidP="002F24A3">
            <w:pPr>
              <w:spacing w:after="0" w:line="240" w:lineRule="auto"/>
              <w:jc w:val="center"/>
              <w:rPr>
                <w:rFonts w:ascii="Arial" w:eastAsia="Times New Roman" w:hAnsi="Arial" w:cs="Arial"/>
                <w:sz w:val="24"/>
                <w:szCs w:val="24"/>
                <w:lang w:eastAsia="en-GB"/>
              </w:rPr>
            </w:pPr>
            <w:r w:rsidRPr="0077738E">
              <w:rPr>
                <w:rFonts w:ascii="Arial" w:eastAsia="Times New Roman" w:hAnsi="Arial" w:cs="Arial"/>
                <w:sz w:val="24"/>
                <w:szCs w:val="24"/>
                <w:lang w:eastAsia="en-GB"/>
              </w:rPr>
              <w:t>40</w:t>
            </w:r>
          </w:p>
        </w:tc>
      </w:tr>
      <w:tr w:rsidR="00C74952" w:rsidRPr="0077738E" w14:paraId="6D9139C2" w14:textId="77777777" w:rsidTr="0077738E">
        <w:trPr>
          <w:trHeight w:val="20"/>
        </w:trPr>
        <w:tc>
          <w:tcPr>
            <w:tcW w:w="5245" w:type="dxa"/>
            <w:gridSpan w:val="2"/>
            <w:tcBorders>
              <w:top w:val="single" w:sz="12" w:space="0" w:color="auto"/>
              <w:left w:val="single" w:sz="8" w:space="0" w:color="auto"/>
              <w:bottom w:val="single" w:sz="8" w:space="0" w:color="auto"/>
              <w:right w:val="single" w:sz="8" w:space="0" w:color="auto"/>
            </w:tcBorders>
            <w:shd w:val="clear" w:color="auto" w:fill="auto"/>
            <w:noWrap/>
            <w:vAlign w:val="bottom"/>
            <w:hideMark/>
          </w:tcPr>
          <w:p w14:paraId="435FDAC1" w14:textId="77777777" w:rsidR="00C74952" w:rsidRPr="0077738E" w:rsidRDefault="00C74952" w:rsidP="002F24A3">
            <w:pPr>
              <w:spacing w:after="0" w:line="240" w:lineRule="auto"/>
              <w:rPr>
                <w:rFonts w:ascii="Arial" w:eastAsia="Times New Roman" w:hAnsi="Arial" w:cs="Arial"/>
                <w:b/>
                <w:sz w:val="24"/>
                <w:szCs w:val="24"/>
                <w:lang w:eastAsia="en-GB"/>
              </w:rPr>
            </w:pPr>
            <w:r w:rsidRPr="0077738E">
              <w:rPr>
                <w:rFonts w:ascii="Arial" w:eastAsia="Times New Roman" w:hAnsi="Arial" w:cs="Arial"/>
                <w:b/>
                <w:sz w:val="24"/>
                <w:szCs w:val="24"/>
                <w:lang w:eastAsia="en-GB"/>
              </w:rPr>
              <w:t>Total </w:t>
            </w:r>
          </w:p>
        </w:tc>
        <w:tc>
          <w:tcPr>
            <w:tcW w:w="1748" w:type="dxa"/>
            <w:tcBorders>
              <w:top w:val="single" w:sz="12" w:space="0" w:color="auto"/>
              <w:left w:val="single" w:sz="8" w:space="0" w:color="auto"/>
              <w:bottom w:val="single" w:sz="8" w:space="0" w:color="auto"/>
              <w:right w:val="single" w:sz="8" w:space="0" w:color="auto"/>
            </w:tcBorders>
            <w:shd w:val="clear" w:color="auto" w:fill="auto"/>
            <w:noWrap/>
            <w:vAlign w:val="bottom"/>
          </w:tcPr>
          <w:p w14:paraId="4F57E9AE" w14:textId="77777777" w:rsidR="00C74952" w:rsidRPr="0077738E" w:rsidRDefault="00C74952" w:rsidP="002F24A3">
            <w:pPr>
              <w:spacing w:after="0" w:line="240" w:lineRule="auto"/>
              <w:jc w:val="center"/>
              <w:rPr>
                <w:rFonts w:ascii="Arial" w:eastAsia="Times New Roman" w:hAnsi="Arial" w:cs="Arial"/>
                <w:b/>
                <w:sz w:val="24"/>
                <w:szCs w:val="24"/>
                <w:lang w:eastAsia="en-GB"/>
              </w:rPr>
            </w:pPr>
            <w:r w:rsidRPr="0077738E">
              <w:rPr>
                <w:rFonts w:ascii="Arial" w:eastAsia="Times New Roman" w:hAnsi="Arial" w:cs="Arial"/>
                <w:b/>
                <w:sz w:val="24"/>
                <w:szCs w:val="24"/>
                <w:lang w:eastAsia="en-GB"/>
              </w:rPr>
              <w:t>37</w:t>
            </w:r>
          </w:p>
        </w:tc>
        <w:tc>
          <w:tcPr>
            <w:tcW w:w="1748" w:type="dxa"/>
            <w:tcBorders>
              <w:top w:val="single" w:sz="12" w:space="0" w:color="auto"/>
              <w:left w:val="single" w:sz="8" w:space="0" w:color="auto"/>
              <w:bottom w:val="single" w:sz="8" w:space="0" w:color="auto"/>
              <w:right w:val="single" w:sz="8" w:space="0" w:color="auto"/>
            </w:tcBorders>
            <w:vAlign w:val="bottom"/>
          </w:tcPr>
          <w:p w14:paraId="7AAC85FC" w14:textId="77777777" w:rsidR="00C74952" w:rsidRPr="0077738E" w:rsidRDefault="00C74952" w:rsidP="002F24A3">
            <w:pPr>
              <w:spacing w:after="0" w:line="240" w:lineRule="auto"/>
              <w:jc w:val="center"/>
              <w:rPr>
                <w:rFonts w:ascii="Arial" w:eastAsia="Times New Roman" w:hAnsi="Arial" w:cs="Arial"/>
                <w:b/>
                <w:sz w:val="24"/>
                <w:szCs w:val="24"/>
                <w:lang w:eastAsia="en-GB"/>
              </w:rPr>
            </w:pPr>
            <w:r w:rsidRPr="0077738E">
              <w:rPr>
                <w:rFonts w:ascii="Arial" w:eastAsia="Times New Roman" w:hAnsi="Arial" w:cs="Arial"/>
                <w:b/>
                <w:sz w:val="24"/>
                <w:szCs w:val="24"/>
                <w:lang w:eastAsia="en-GB"/>
              </w:rPr>
              <w:t>60</w:t>
            </w:r>
          </w:p>
        </w:tc>
        <w:tc>
          <w:tcPr>
            <w:tcW w:w="1749" w:type="dxa"/>
            <w:tcBorders>
              <w:top w:val="single" w:sz="12" w:space="0" w:color="auto"/>
              <w:left w:val="single" w:sz="8" w:space="0" w:color="auto"/>
              <w:bottom w:val="single" w:sz="8" w:space="0" w:color="auto"/>
              <w:right w:val="single" w:sz="8" w:space="0" w:color="auto"/>
            </w:tcBorders>
            <w:vAlign w:val="bottom"/>
          </w:tcPr>
          <w:p w14:paraId="479D0337" w14:textId="77777777" w:rsidR="00C74952" w:rsidRPr="0077738E" w:rsidRDefault="00C74952" w:rsidP="002F24A3">
            <w:pPr>
              <w:spacing w:after="0" w:line="240" w:lineRule="auto"/>
              <w:jc w:val="center"/>
              <w:rPr>
                <w:rFonts w:ascii="Arial" w:eastAsia="Times New Roman" w:hAnsi="Arial" w:cs="Arial"/>
                <w:b/>
                <w:sz w:val="24"/>
                <w:szCs w:val="24"/>
                <w:lang w:eastAsia="en-GB"/>
              </w:rPr>
            </w:pPr>
            <w:r w:rsidRPr="0077738E">
              <w:rPr>
                <w:rFonts w:ascii="Arial" w:eastAsia="Times New Roman" w:hAnsi="Arial" w:cs="Arial"/>
                <w:b/>
                <w:sz w:val="24"/>
                <w:szCs w:val="24"/>
                <w:lang w:eastAsia="en-GB"/>
              </w:rPr>
              <w:t>52</w:t>
            </w:r>
          </w:p>
        </w:tc>
      </w:tr>
    </w:tbl>
    <w:p w14:paraId="7761AD14" w14:textId="77777777" w:rsidR="00C74952" w:rsidRPr="0077738E" w:rsidRDefault="00C74952" w:rsidP="00C74952">
      <w:pPr>
        <w:spacing w:after="0" w:line="240" w:lineRule="auto"/>
        <w:rPr>
          <w:rFonts w:ascii="Arial" w:hAnsi="Arial" w:cs="Arial"/>
          <w:color w:val="FF0000"/>
          <w:sz w:val="24"/>
          <w:szCs w:val="24"/>
          <w:highlight w:val="yellow"/>
        </w:rPr>
      </w:pPr>
    </w:p>
    <w:p w14:paraId="7939BDCA" w14:textId="77777777" w:rsidR="00C74952" w:rsidRPr="0077738E" w:rsidRDefault="00C74952" w:rsidP="00C74952">
      <w:pPr>
        <w:spacing w:after="0" w:line="240" w:lineRule="auto"/>
        <w:jc w:val="both"/>
        <w:rPr>
          <w:rFonts w:ascii="Arial" w:hAnsi="Arial" w:cs="Arial"/>
          <w:sz w:val="24"/>
          <w:szCs w:val="24"/>
        </w:rPr>
      </w:pPr>
      <w:r w:rsidRPr="0077738E">
        <w:rPr>
          <w:rFonts w:ascii="Arial" w:hAnsi="Arial" w:cs="Arial"/>
          <w:sz w:val="24"/>
          <w:szCs w:val="24"/>
        </w:rPr>
        <w:t>The following table is a breakdown of contracts which were awarded reflecting the use of, for instance, collaborative frameworks (CAL) or Quick Quote (QQ), giving opportunities to SMEs and local businesses to bid. Non-competitive actions have been excluded.</w:t>
      </w:r>
    </w:p>
    <w:p w14:paraId="3732F362" w14:textId="77777777" w:rsidR="00C74952" w:rsidRPr="00070B35" w:rsidRDefault="00C74952" w:rsidP="00C74952">
      <w:pPr>
        <w:spacing w:after="0" w:line="240" w:lineRule="auto"/>
        <w:rPr>
          <w:rFonts w:ascii="Arial" w:hAnsi="Arial" w:cs="Arial"/>
          <w:color w:val="FF0000"/>
          <w:highlight w:val="yellow"/>
        </w:rPr>
      </w:pPr>
    </w:p>
    <w:tbl>
      <w:tblPr>
        <w:tblStyle w:val="TableGrid"/>
        <w:tblW w:w="10490" w:type="dxa"/>
        <w:tblInd w:w="-5" w:type="dxa"/>
        <w:tblLook w:val="04A0" w:firstRow="1" w:lastRow="0" w:firstColumn="1" w:lastColumn="0" w:noHBand="0" w:noVBand="1"/>
      </w:tblPr>
      <w:tblGrid>
        <w:gridCol w:w="1413"/>
        <w:gridCol w:w="6384"/>
        <w:gridCol w:w="992"/>
        <w:gridCol w:w="1701"/>
      </w:tblGrid>
      <w:tr w:rsidR="00C74952" w:rsidRPr="0077738E" w14:paraId="3EDE8F41" w14:textId="77777777" w:rsidTr="00FC3161">
        <w:tc>
          <w:tcPr>
            <w:tcW w:w="1413" w:type="dxa"/>
            <w:shd w:val="clear" w:color="auto" w:fill="BFBFBF" w:themeFill="background1" w:themeFillShade="BF"/>
          </w:tcPr>
          <w:p w14:paraId="38AFB9F6" w14:textId="77777777" w:rsidR="00C74952" w:rsidRPr="0077738E" w:rsidRDefault="00C74952" w:rsidP="002F24A3">
            <w:pPr>
              <w:spacing w:after="0" w:line="240" w:lineRule="auto"/>
              <w:rPr>
                <w:rFonts w:ascii="Arial" w:hAnsi="Arial" w:cs="Arial"/>
                <w:sz w:val="24"/>
                <w:szCs w:val="24"/>
              </w:rPr>
            </w:pPr>
            <w:r w:rsidRPr="0077738E">
              <w:rPr>
                <w:rFonts w:ascii="Arial" w:hAnsi="Arial" w:cs="Arial"/>
                <w:sz w:val="24"/>
                <w:szCs w:val="24"/>
              </w:rPr>
              <w:t>Type</w:t>
            </w:r>
          </w:p>
        </w:tc>
        <w:tc>
          <w:tcPr>
            <w:tcW w:w="6384" w:type="dxa"/>
            <w:shd w:val="clear" w:color="auto" w:fill="BFBFBF" w:themeFill="background1" w:themeFillShade="BF"/>
          </w:tcPr>
          <w:p w14:paraId="487DF785" w14:textId="77777777" w:rsidR="00C74952" w:rsidRPr="0077738E" w:rsidRDefault="00C74952" w:rsidP="002F24A3">
            <w:pPr>
              <w:spacing w:after="0" w:line="240" w:lineRule="auto"/>
              <w:rPr>
                <w:rFonts w:ascii="Arial" w:hAnsi="Arial" w:cs="Arial"/>
                <w:b/>
                <w:sz w:val="24"/>
                <w:szCs w:val="24"/>
              </w:rPr>
            </w:pPr>
            <w:r w:rsidRPr="0077738E">
              <w:rPr>
                <w:rFonts w:ascii="Arial" w:hAnsi="Arial" w:cs="Arial"/>
                <w:b/>
                <w:sz w:val="24"/>
                <w:szCs w:val="24"/>
              </w:rPr>
              <w:t>Description</w:t>
            </w:r>
          </w:p>
        </w:tc>
        <w:tc>
          <w:tcPr>
            <w:tcW w:w="992" w:type="dxa"/>
            <w:shd w:val="clear" w:color="auto" w:fill="BFBFBF" w:themeFill="background1" w:themeFillShade="BF"/>
          </w:tcPr>
          <w:p w14:paraId="238D8B66" w14:textId="77777777" w:rsidR="00C74952" w:rsidRPr="0077738E" w:rsidRDefault="00C74952" w:rsidP="002F24A3">
            <w:pPr>
              <w:spacing w:after="0" w:line="240" w:lineRule="auto"/>
              <w:jc w:val="center"/>
              <w:rPr>
                <w:rFonts w:ascii="Arial" w:hAnsi="Arial" w:cs="Arial"/>
                <w:b/>
                <w:sz w:val="24"/>
                <w:szCs w:val="24"/>
              </w:rPr>
            </w:pPr>
            <w:r w:rsidRPr="0077738E">
              <w:rPr>
                <w:rFonts w:ascii="Arial" w:hAnsi="Arial" w:cs="Arial"/>
                <w:b/>
                <w:sz w:val="24"/>
                <w:szCs w:val="24"/>
              </w:rPr>
              <w:t>Qty</w:t>
            </w:r>
          </w:p>
        </w:tc>
        <w:tc>
          <w:tcPr>
            <w:tcW w:w="1701" w:type="dxa"/>
            <w:shd w:val="clear" w:color="auto" w:fill="BFBFBF" w:themeFill="background1" w:themeFillShade="BF"/>
          </w:tcPr>
          <w:p w14:paraId="082998FB" w14:textId="77777777" w:rsidR="00C74952" w:rsidRPr="0077738E" w:rsidRDefault="00C74952" w:rsidP="002F24A3">
            <w:pPr>
              <w:spacing w:after="0" w:line="240" w:lineRule="auto"/>
              <w:jc w:val="right"/>
              <w:rPr>
                <w:rFonts w:ascii="Arial" w:hAnsi="Arial" w:cs="Arial"/>
                <w:b/>
                <w:sz w:val="24"/>
                <w:szCs w:val="24"/>
              </w:rPr>
            </w:pPr>
            <w:r w:rsidRPr="0077738E">
              <w:rPr>
                <w:rFonts w:ascii="Arial" w:hAnsi="Arial" w:cs="Arial"/>
                <w:b/>
                <w:sz w:val="24"/>
                <w:szCs w:val="24"/>
              </w:rPr>
              <w:t>Value</w:t>
            </w:r>
          </w:p>
        </w:tc>
      </w:tr>
      <w:tr w:rsidR="00C74952" w:rsidRPr="0077738E" w14:paraId="1B07FF1F" w14:textId="77777777" w:rsidTr="00FC3161">
        <w:tc>
          <w:tcPr>
            <w:tcW w:w="1413" w:type="dxa"/>
          </w:tcPr>
          <w:p w14:paraId="7B2A81AF" w14:textId="77777777" w:rsidR="00C74952" w:rsidRPr="0077738E" w:rsidRDefault="00C74952" w:rsidP="002F24A3">
            <w:pPr>
              <w:spacing w:after="0" w:line="240" w:lineRule="auto"/>
              <w:rPr>
                <w:rFonts w:ascii="Arial" w:hAnsi="Arial" w:cs="Arial"/>
                <w:sz w:val="24"/>
                <w:szCs w:val="24"/>
              </w:rPr>
            </w:pPr>
            <w:r w:rsidRPr="0077738E">
              <w:rPr>
                <w:rFonts w:ascii="Arial" w:hAnsi="Arial" w:cs="Arial"/>
                <w:sz w:val="24"/>
                <w:szCs w:val="24"/>
              </w:rPr>
              <w:t>FRA</w:t>
            </w:r>
          </w:p>
        </w:tc>
        <w:tc>
          <w:tcPr>
            <w:tcW w:w="6384" w:type="dxa"/>
          </w:tcPr>
          <w:p w14:paraId="28BE04F2" w14:textId="77777777" w:rsidR="00C74952" w:rsidRPr="0077738E" w:rsidRDefault="00C74952" w:rsidP="002F24A3">
            <w:pPr>
              <w:spacing w:after="0" w:line="240" w:lineRule="auto"/>
              <w:rPr>
                <w:rFonts w:ascii="Arial" w:hAnsi="Arial" w:cs="Arial"/>
                <w:sz w:val="24"/>
                <w:szCs w:val="24"/>
              </w:rPr>
            </w:pPr>
            <w:r w:rsidRPr="0077738E">
              <w:rPr>
                <w:rFonts w:ascii="Arial" w:hAnsi="Arial" w:cs="Arial"/>
                <w:sz w:val="24"/>
                <w:szCs w:val="24"/>
              </w:rPr>
              <w:t>SEPA Framework</w:t>
            </w:r>
          </w:p>
        </w:tc>
        <w:tc>
          <w:tcPr>
            <w:tcW w:w="992" w:type="dxa"/>
          </w:tcPr>
          <w:p w14:paraId="1CD080D2" w14:textId="77777777" w:rsidR="00C74952" w:rsidRPr="0077738E" w:rsidRDefault="00C74952" w:rsidP="002F24A3">
            <w:pPr>
              <w:spacing w:after="0" w:line="240" w:lineRule="auto"/>
              <w:jc w:val="center"/>
              <w:rPr>
                <w:rFonts w:ascii="Arial" w:hAnsi="Arial" w:cs="Arial"/>
                <w:sz w:val="24"/>
                <w:szCs w:val="24"/>
              </w:rPr>
            </w:pPr>
            <w:r w:rsidRPr="0077738E">
              <w:rPr>
                <w:rFonts w:ascii="Arial" w:hAnsi="Arial" w:cs="Arial"/>
                <w:sz w:val="24"/>
                <w:szCs w:val="24"/>
              </w:rPr>
              <w:t>3</w:t>
            </w:r>
          </w:p>
        </w:tc>
        <w:tc>
          <w:tcPr>
            <w:tcW w:w="1701" w:type="dxa"/>
          </w:tcPr>
          <w:p w14:paraId="05EAC804" w14:textId="77777777" w:rsidR="00C74952" w:rsidRPr="0077738E" w:rsidRDefault="00C74952" w:rsidP="002F24A3">
            <w:pPr>
              <w:spacing w:after="0" w:line="240" w:lineRule="auto"/>
              <w:jc w:val="right"/>
              <w:rPr>
                <w:rFonts w:ascii="Arial" w:hAnsi="Arial" w:cs="Arial"/>
                <w:sz w:val="24"/>
                <w:szCs w:val="24"/>
              </w:rPr>
            </w:pPr>
            <w:r w:rsidRPr="0077738E">
              <w:rPr>
                <w:rFonts w:ascii="Arial" w:hAnsi="Arial" w:cs="Arial"/>
                <w:sz w:val="24"/>
                <w:szCs w:val="24"/>
              </w:rPr>
              <w:t>£1,255,330</w:t>
            </w:r>
          </w:p>
        </w:tc>
      </w:tr>
      <w:tr w:rsidR="00C74952" w:rsidRPr="0077738E" w14:paraId="19B0089F" w14:textId="77777777" w:rsidTr="00FC3161">
        <w:tc>
          <w:tcPr>
            <w:tcW w:w="1413" w:type="dxa"/>
            <w:vMerge w:val="restart"/>
            <w:vAlign w:val="center"/>
          </w:tcPr>
          <w:p w14:paraId="1CD30E8C" w14:textId="77777777" w:rsidR="00C74952" w:rsidRPr="0077738E" w:rsidRDefault="00C74952" w:rsidP="002F24A3">
            <w:pPr>
              <w:spacing w:after="0" w:line="240" w:lineRule="auto"/>
              <w:rPr>
                <w:rFonts w:ascii="Arial" w:hAnsi="Arial" w:cs="Arial"/>
                <w:sz w:val="24"/>
                <w:szCs w:val="24"/>
              </w:rPr>
            </w:pPr>
            <w:r w:rsidRPr="0077738E">
              <w:rPr>
                <w:rFonts w:ascii="Arial" w:hAnsi="Arial" w:cs="Arial"/>
                <w:sz w:val="24"/>
                <w:szCs w:val="24"/>
              </w:rPr>
              <w:t>CAL</w:t>
            </w:r>
          </w:p>
        </w:tc>
        <w:tc>
          <w:tcPr>
            <w:tcW w:w="6384" w:type="dxa"/>
          </w:tcPr>
          <w:p w14:paraId="67E1D2DE" w14:textId="77777777" w:rsidR="00C74952" w:rsidRPr="0077738E" w:rsidRDefault="00C74952" w:rsidP="002F24A3">
            <w:pPr>
              <w:spacing w:after="0" w:line="240" w:lineRule="auto"/>
              <w:rPr>
                <w:rFonts w:ascii="Arial" w:hAnsi="Arial" w:cs="Arial"/>
                <w:sz w:val="24"/>
                <w:szCs w:val="24"/>
              </w:rPr>
            </w:pPr>
            <w:r w:rsidRPr="0077738E">
              <w:rPr>
                <w:rFonts w:ascii="Arial" w:hAnsi="Arial" w:cs="Arial"/>
                <w:sz w:val="24"/>
                <w:szCs w:val="24"/>
              </w:rPr>
              <w:t xml:space="preserve">Called from a National Framework </w:t>
            </w:r>
          </w:p>
        </w:tc>
        <w:tc>
          <w:tcPr>
            <w:tcW w:w="992" w:type="dxa"/>
          </w:tcPr>
          <w:p w14:paraId="5D638FD3" w14:textId="77777777" w:rsidR="00C74952" w:rsidRPr="0077738E" w:rsidRDefault="00C74952" w:rsidP="002F24A3">
            <w:pPr>
              <w:spacing w:after="0" w:line="240" w:lineRule="auto"/>
              <w:jc w:val="center"/>
              <w:rPr>
                <w:rFonts w:ascii="Arial" w:hAnsi="Arial" w:cs="Arial"/>
                <w:sz w:val="24"/>
                <w:szCs w:val="24"/>
              </w:rPr>
            </w:pPr>
            <w:r w:rsidRPr="0077738E">
              <w:rPr>
                <w:rFonts w:ascii="Arial" w:hAnsi="Arial" w:cs="Arial"/>
                <w:sz w:val="24"/>
                <w:szCs w:val="24"/>
              </w:rPr>
              <w:t>40</w:t>
            </w:r>
          </w:p>
        </w:tc>
        <w:tc>
          <w:tcPr>
            <w:tcW w:w="1701" w:type="dxa"/>
          </w:tcPr>
          <w:p w14:paraId="4F91712F" w14:textId="77777777" w:rsidR="00C74952" w:rsidRPr="0077738E" w:rsidRDefault="00C74952" w:rsidP="002F24A3">
            <w:pPr>
              <w:spacing w:after="0" w:line="240" w:lineRule="auto"/>
              <w:jc w:val="right"/>
              <w:rPr>
                <w:rFonts w:ascii="Arial" w:hAnsi="Arial" w:cs="Arial"/>
                <w:sz w:val="24"/>
                <w:szCs w:val="24"/>
              </w:rPr>
            </w:pPr>
            <w:r w:rsidRPr="0077738E">
              <w:rPr>
                <w:rFonts w:ascii="Arial" w:hAnsi="Arial" w:cs="Arial"/>
                <w:sz w:val="24"/>
                <w:szCs w:val="24"/>
              </w:rPr>
              <w:t>£7,565,003</w:t>
            </w:r>
          </w:p>
        </w:tc>
      </w:tr>
      <w:tr w:rsidR="00C74952" w:rsidRPr="0077738E" w14:paraId="62FED328" w14:textId="77777777" w:rsidTr="00FC3161">
        <w:tc>
          <w:tcPr>
            <w:tcW w:w="1413" w:type="dxa"/>
            <w:vMerge/>
          </w:tcPr>
          <w:p w14:paraId="1147687F" w14:textId="77777777" w:rsidR="00C74952" w:rsidRPr="0077738E" w:rsidRDefault="00C74952" w:rsidP="002F24A3">
            <w:pPr>
              <w:spacing w:after="0" w:line="240" w:lineRule="auto"/>
              <w:rPr>
                <w:rFonts w:ascii="Arial" w:hAnsi="Arial" w:cs="Arial"/>
                <w:sz w:val="24"/>
                <w:szCs w:val="24"/>
              </w:rPr>
            </w:pPr>
          </w:p>
        </w:tc>
        <w:tc>
          <w:tcPr>
            <w:tcW w:w="6384" w:type="dxa"/>
          </w:tcPr>
          <w:p w14:paraId="7B809478" w14:textId="77777777" w:rsidR="00C74952" w:rsidRPr="0077738E" w:rsidRDefault="00C74952" w:rsidP="002F24A3">
            <w:pPr>
              <w:spacing w:after="0" w:line="240" w:lineRule="auto"/>
              <w:rPr>
                <w:rFonts w:ascii="Arial" w:hAnsi="Arial" w:cs="Arial"/>
                <w:sz w:val="24"/>
                <w:szCs w:val="24"/>
              </w:rPr>
            </w:pPr>
            <w:r w:rsidRPr="0077738E">
              <w:rPr>
                <w:rFonts w:ascii="Arial" w:hAnsi="Arial" w:cs="Arial"/>
                <w:sz w:val="24"/>
                <w:szCs w:val="24"/>
              </w:rPr>
              <w:t>Called from a SEPA Framework</w:t>
            </w:r>
          </w:p>
        </w:tc>
        <w:tc>
          <w:tcPr>
            <w:tcW w:w="992" w:type="dxa"/>
          </w:tcPr>
          <w:p w14:paraId="0ECCB29D" w14:textId="77777777" w:rsidR="00C74952" w:rsidRPr="0077738E" w:rsidRDefault="00C74952" w:rsidP="002F24A3">
            <w:pPr>
              <w:spacing w:after="0" w:line="240" w:lineRule="auto"/>
              <w:jc w:val="center"/>
              <w:rPr>
                <w:rFonts w:ascii="Arial" w:hAnsi="Arial" w:cs="Arial"/>
                <w:sz w:val="24"/>
                <w:szCs w:val="24"/>
              </w:rPr>
            </w:pPr>
            <w:r w:rsidRPr="0077738E">
              <w:rPr>
                <w:rFonts w:ascii="Arial" w:hAnsi="Arial" w:cs="Arial"/>
                <w:sz w:val="24"/>
                <w:szCs w:val="24"/>
              </w:rPr>
              <w:t>7</w:t>
            </w:r>
          </w:p>
        </w:tc>
        <w:tc>
          <w:tcPr>
            <w:tcW w:w="1701" w:type="dxa"/>
          </w:tcPr>
          <w:p w14:paraId="5DECDD9E" w14:textId="77777777" w:rsidR="00C74952" w:rsidRPr="0077738E" w:rsidRDefault="00C74952" w:rsidP="002F24A3">
            <w:pPr>
              <w:spacing w:after="0" w:line="240" w:lineRule="auto"/>
              <w:jc w:val="right"/>
              <w:rPr>
                <w:rFonts w:ascii="Arial" w:hAnsi="Arial" w:cs="Arial"/>
                <w:sz w:val="24"/>
                <w:szCs w:val="24"/>
              </w:rPr>
            </w:pPr>
            <w:r w:rsidRPr="0077738E">
              <w:rPr>
                <w:rFonts w:ascii="Arial" w:hAnsi="Arial" w:cs="Arial"/>
                <w:sz w:val="24"/>
                <w:szCs w:val="24"/>
              </w:rPr>
              <w:t>£938,559</w:t>
            </w:r>
          </w:p>
        </w:tc>
      </w:tr>
      <w:tr w:rsidR="00C74952" w:rsidRPr="0077738E" w14:paraId="3239BAD4" w14:textId="77777777" w:rsidTr="00FC3161">
        <w:tc>
          <w:tcPr>
            <w:tcW w:w="1413" w:type="dxa"/>
          </w:tcPr>
          <w:p w14:paraId="64F7A0C9" w14:textId="77777777" w:rsidR="00C74952" w:rsidRPr="0077738E" w:rsidRDefault="00C74952" w:rsidP="002F24A3">
            <w:pPr>
              <w:spacing w:after="0" w:line="240" w:lineRule="auto"/>
              <w:rPr>
                <w:rFonts w:ascii="Arial" w:hAnsi="Arial" w:cs="Arial"/>
                <w:sz w:val="24"/>
                <w:szCs w:val="24"/>
              </w:rPr>
            </w:pPr>
            <w:r w:rsidRPr="0077738E">
              <w:rPr>
                <w:rFonts w:ascii="Arial" w:hAnsi="Arial" w:cs="Arial"/>
                <w:sz w:val="24"/>
                <w:szCs w:val="24"/>
              </w:rPr>
              <w:t>PUR</w:t>
            </w:r>
          </w:p>
        </w:tc>
        <w:tc>
          <w:tcPr>
            <w:tcW w:w="6384" w:type="dxa"/>
          </w:tcPr>
          <w:p w14:paraId="0AE03782" w14:textId="77777777" w:rsidR="00C74952" w:rsidRPr="0077738E" w:rsidRDefault="00C74952" w:rsidP="002F24A3">
            <w:pPr>
              <w:spacing w:after="0" w:line="240" w:lineRule="auto"/>
              <w:rPr>
                <w:rFonts w:ascii="Arial" w:hAnsi="Arial" w:cs="Arial"/>
                <w:sz w:val="24"/>
                <w:szCs w:val="24"/>
              </w:rPr>
            </w:pPr>
            <w:r w:rsidRPr="0077738E">
              <w:rPr>
                <w:rFonts w:ascii="Arial" w:hAnsi="Arial" w:cs="Arial"/>
                <w:sz w:val="24"/>
                <w:szCs w:val="24"/>
              </w:rPr>
              <w:t xml:space="preserve">Contracts competitively tendered </w:t>
            </w:r>
          </w:p>
        </w:tc>
        <w:tc>
          <w:tcPr>
            <w:tcW w:w="992" w:type="dxa"/>
          </w:tcPr>
          <w:p w14:paraId="56BE2CB3" w14:textId="77777777" w:rsidR="00C74952" w:rsidRPr="0077738E" w:rsidRDefault="00C74952" w:rsidP="002F24A3">
            <w:pPr>
              <w:spacing w:after="0" w:line="240" w:lineRule="auto"/>
              <w:jc w:val="center"/>
              <w:rPr>
                <w:rFonts w:ascii="Arial" w:hAnsi="Arial" w:cs="Arial"/>
                <w:sz w:val="24"/>
                <w:szCs w:val="24"/>
              </w:rPr>
            </w:pPr>
            <w:r w:rsidRPr="0077738E">
              <w:rPr>
                <w:rFonts w:ascii="Arial" w:hAnsi="Arial" w:cs="Arial"/>
                <w:sz w:val="24"/>
                <w:szCs w:val="24"/>
              </w:rPr>
              <w:t>21</w:t>
            </w:r>
          </w:p>
        </w:tc>
        <w:tc>
          <w:tcPr>
            <w:tcW w:w="1701" w:type="dxa"/>
          </w:tcPr>
          <w:p w14:paraId="58C5AAE3" w14:textId="77777777" w:rsidR="00C74952" w:rsidRPr="0077738E" w:rsidRDefault="00C74952" w:rsidP="002F24A3">
            <w:pPr>
              <w:spacing w:after="0" w:line="240" w:lineRule="auto"/>
              <w:jc w:val="right"/>
              <w:rPr>
                <w:rFonts w:ascii="Arial" w:hAnsi="Arial" w:cs="Arial"/>
                <w:sz w:val="24"/>
                <w:szCs w:val="24"/>
              </w:rPr>
            </w:pPr>
            <w:r w:rsidRPr="0077738E">
              <w:rPr>
                <w:rFonts w:ascii="Arial" w:hAnsi="Arial" w:cs="Arial"/>
                <w:sz w:val="24"/>
                <w:szCs w:val="24"/>
              </w:rPr>
              <w:t>£1,718,501</w:t>
            </w:r>
          </w:p>
        </w:tc>
      </w:tr>
      <w:tr w:rsidR="00C74952" w:rsidRPr="0077738E" w14:paraId="7D2473DB" w14:textId="77777777" w:rsidTr="00FC3161">
        <w:tc>
          <w:tcPr>
            <w:tcW w:w="1413" w:type="dxa"/>
            <w:tcBorders>
              <w:bottom w:val="single" w:sz="4" w:space="0" w:color="auto"/>
            </w:tcBorders>
          </w:tcPr>
          <w:p w14:paraId="6BC13439" w14:textId="77777777" w:rsidR="00C74952" w:rsidRPr="0077738E" w:rsidRDefault="00C74952" w:rsidP="002F24A3">
            <w:pPr>
              <w:spacing w:after="0" w:line="240" w:lineRule="auto"/>
              <w:rPr>
                <w:rFonts w:ascii="Arial" w:hAnsi="Arial" w:cs="Arial"/>
                <w:sz w:val="24"/>
                <w:szCs w:val="24"/>
              </w:rPr>
            </w:pPr>
            <w:r w:rsidRPr="0077738E">
              <w:rPr>
                <w:rFonts w:ascii="Arial" w:hAnsi="Arial" w:cs="Arial"/>
                <w:sz w:val="24"/>
                <w:szCs w:val="24"/>
              </w:rPr>
              <w:lastRenderedPageBreak/>
              <w:t>QQ</w:t>
            </w:r>
          </w:p>
        </w:tc>
        <w:tc>
          <w:tcPr>
            <w:tcW w:w="6384" w:type="dxa"/>
            <w:tcBorders>
              <w:bottom w:val="single" w:sz="4" w:space="0" w:color="auto"/>
            </w:tcBorders>
          </w:tcPr>
          <w:p w14:paraId="6DFD6D69" w14:textId="77777777" w:rsidR="00C74952" w:rsidRPr="0077738E" w:rsidRDefault="00C74952" w:rsidP="002F24A3">
            <w:pPr>
              <w:spacing w:after="0" w:line="240" w:lineRule="auto"/>
              <w:rPr>
                <w:rFonts w:ascii="Arial" w:hAnsi="Arial" w:cs="Arial"/>
                <w:sz w:val="24"/>
                <w:szCs w:val="24"/>
              </w:rPr>
            </w:pPr>
            <w:r w:rsidRPr="0077738E">
              <w:rPr>
                <w:rFonts w:ascii="Arial" w:hAnsi="Arial" w:cs="Arial"/>
                <w:sz w:val="24"/>
                <w:szCs w:val="24"/>
              </w:rPr>
              <w:t>Contracts placed through PCS Quick Quote system</w:t>
            </w:r>
          </w:p>
        </w:tc>
        <w:tc>
          <w:tcPr>
            <w:tcW w:w="992" w:type="dxa"/>
            <w:tcBorders>
              <w:bottom w:val="single" w:sz="4" w:space="0" w:color="auto"/>
            </w:tcBorders>
          </w:tcPr>
          <w:p w14:paraId="2E5B34FB" w14:textId="77777777" w:rsidR="00C74952" w:rsidRPr="0077738E" w:rsidRDefault="00C74952" w:rsidP="002F24A3">
            <w:pPr>
              <w:spacing w:after="0" w:line="240" w:lineRule="auto"/>
              <w:jc w:val="center"/>
              <w:rPr>
                <w:rFonts w:ascii="Arial" w:hAnsi="Arial" w:cs="Arial"/>
                <w:sz w:val="24"/>
                <w:szCs w:val="24"/>
              </w:rPr>
            </w:pPr>
            <w:r w:rsidRPr="0077738E">
              <w:rPr>
                <w:rFonts w:ascii="Arial" w:hAnsi="Arial" w:cs="Arial"/>
                <w:sz w:val="24"/>
                <w:szCs w:val="24"/>
              </w:rPr>
              <w:t>8</w:t>
            </w:r>
          </w:p>
        </w:tc>
        <w:tc>
          <w:tcPr>
            <w:tcW w:w="1701" w:type="dxa"/>
            <w:tcBorders>
              <w:bottom w:val="single" w:sz="4" w:space="0" w:color="auto"/>
            </w:tcBorders>
          </w:tcPr>
          <w:p w14:paraId="7C0C40F2" w14:textId="77777777" w:rsidR="00C74952" w:rsidRPr="0077738E" w:rsidRDefault="00C74952" w:rsidP="002F24A3">
            <w:pPr>
              <w:spacing w:after="0" w:line="240" w:lineRule="auto"/>
              <w:jc w:val="right"/>
              <w:rPr>
                <w:rFonts w:ascii="Arial" w:hAnsi="Arial" w:cs="Arial"/>
                <w:sz w:val="24"/>
                <w:szCs w:val="24"/>
              </w:rPr>
            </w:pPr>
            <w:r w:rsidRPr="0077738E">
              <w:rPr>
                <w:rFonts w:ascii="Arial" w:hAnsi="Arial" w:cs="Arial"/>
                <w:sz w:val="24"/>
                <w:szCs w:val="24"/>
              </w:rPr>
              <w:t>£269,071</w:t>
            </w:r>
          </w:p>
        </w:tc>
      </w:tr>
      <w:tr w:rsidR="00C74952" w:rsidRPr="007B30CE" w14:paraId="35979849" w14:textId="77777777" w:rsidTr="00FC3161">
        <w:tc>
          <w:tcPr>
            <w:tcW w:w="7797" w:type="dxa"/>
            <w:gridSpan w:val="2"/>
            <w:tcBorders>
              <w:bottom w:val="single" w:sz="4" w:space="0" w:color="auto"/>
            </w:tcBorders>
          </w:tcPr>
          <w:p w14:paraId="7A7D80C8" w14:textId="77777777" w:rsidR="00C74952" w:rsidRPr="007B30CE" w:rsidRDefault="00C74952" w:rsidP="002F24A3">
            <w:pPr>
              <w:spacing w:after="0" w:line="240" w:lineRule="auto"/>
              <w:rPr>
                <w:rFonts w:ascii="Arial" w:hAnsi="Arial" w:cs="Arial"/>
                <w:b/>
                <w:color w:val="FF0000"/>
                <w:sz w:val="24"/>
                <w:szCs w:val="24"/>
              </w:rPr>
            </w:pPr>
            <w:r w:rsidRPr="007B30CE">
              <w:rPr>
                <w:rFonts w:ascii="Arial" w:hAnsi="Arial" w:cs="Arial"/>
                <w:b/>
                <w:sz w:val="24"/>
                <w:szCs w:val="24"/>
              </w:rPr>
              <w:t>Total contracts</w:t>
            </w:r>
          </w:p>
        </w:tc>
        <w:tc>
          <w:tcPr>
            <w:tcW w:w="992" w:type="dxa"/>
            <w:tcBorders>
              <w:bottom w:val="single" w:sz="4" w:space="0" w:color="auto"/>
            </w:tcBorders>
            <w:vAlign w:val="center"/>
          </w:tcPr>
          <w:p w14:paraId="3BC26BF9" w14:textId="77777777" w:rsidR="00C74952" w:rsidRPr="007B30CE" w:rsidRDefault="00C74952" w:rsidP="002F24A3">
            <w:pPr>
              <w:spacing w:after="0" w:line="240" w:lineRule="auto"/>
              <w:jc w:val="center"/>
              <w:rPr>
                <w:rFonts w:ascii="Arial" w:hAnsi="Arial" w:cs="Arial"/>
                <w:b/>
                <w:sz w:val="24"/>
                <w:szCs w:val="24"/>
              </w:rPr>
            </w:pPr>
            <w:r w:rsidRPr="007B30CE">
              <w:rPr>
                <w:rFonts w:ascii="Arial" w:hAnsi="Arial" w:cs="Arial"/>
                <w:b/>
                <w:sz w:val="24"/>
                <w:szCs w:val="24"/>
              </w:rPr>
              <w:t>79</w:t>
            </w:r>
          </w:p>
        </w:tc>
        <w:tc>
          <w:tcPr>
            <w:tcW w:w="1701" w:type="dxa"/>
            <w:tcBorders>
              <w:bottom w:val="single" w:sz="4" w:space="0" w:color="auto"/>
            </w:tcBorders>
          </w:tcPr>
          <w:p w14:paraId="2CB4F7EA" w14:textId="77777777" w:rsidR="00C74952" w:rsidRPr="007B30CE" w:rsidRDefault="00C74952" w:rsidP="002F24A3">
            <w:pPr>
              <w:spacing w:after="0" w:line="240" w:lineRule="auto"/>
              <w:jc w:val="center"/>
              <w:rPr>
                <w:rFonts w:ascii="Arial" w:hAnsi="Arial" w:cs="Arial"/>
                <w:b/>
                <w:sz w:val="24"/>
                <w:szCs w:val="24"/>
              </w:rPr>
            </w:pPr>
            <w:r w:rsidRPr="007B30CE">
              <w:rPr>
                <w:rFonts w:ascii="Arial" w:hAnsi="Arial" w:cs="Arial"/>
                <w:b/>
                <w:sz w:val="24"/>
                <w:szCs w:val="24"/>
              </w:rPr>
              <w:t>11,746,464</w:t>
            </w:r>
          </w:p>
        </w:tc>
      </w:tr>
    </w:tbl>
    <w:p w14:paraId="13B9FEEA" w14:textId="77777777" w:rsidR="00C74952" w:rsidRPr="00070B35" w:rsidRDefault="00C74952" w:rsidP="00C74952">
      <w:pPr>
        <w:spacing w:after="0" w:line="240" w:lineRule="auto"/>
        <w:rPr>
          <w:rFonts w:ascii="Arial" w:hAnsi="Arial" w:cs="Arial"/>
          <w:b/>
          <w:color w:val="FF0000"/>
          <w:sz w:val="24"/>
          <w:szCs w:val="24"/>
          <w:highlight w:val="yellow"/>
        </w:rPr>
      </w:pPr>
    </w:p>
    <w:p w14:paraId="61751B0A" w14:textId="77777777" w:rsidR="00C74952" w:rsidRPr="007B30CE" w:rsidRDefault="00C74952" w:rsidP="00C74952">
      <w:pPr>
        <w:spacing w:after="0" w:line="240" w:lineRule="auto"/>
        <w:jc w:val="both"/>
        <w:rPr>
          <w:rFonts w:ascii="Arial" w:hAnsi="Arial" w:cs="Arial"/>
          <w:sz w:val="24"/>
          <w:szCs w:val="24"/>
        </w:rPr>
      </w:pPr>
      <w:r w:rsidRPr="007B30CE">
        <w:rPr>
          <w:rFonts w:ascii="Arial" w:hAnsi="Arial" w:cs="Arial"/>
          <w:sz w:val="24"/>
          <w:szCs w:val="24"/>
        </w:rPr>
        <w:t>There were no regulated procurements i.e. &gt;£50,000 which did not comply with the Procurement Strategy.</w:t>
      </w:r>
    </w:p>
    <w:p w14:paraId="649B4C23" w14:textId="77777777" w:rsidR="00C74952" w:rsidRPr="007B30CE" w:rsidRDefault="00C74952" w:rsidP="00C74952">
      <w:pPr>
        <w:spacing w:after="0" w:line="240" w:lineRule="auto"/>
        <w:rPr>
          <w:rFonts w:ascii="Arial" w:hAnsi="Arial" w:cs="Arial"/>
          <w:b/>
          <w:color w:val="FF0000"/>
          <w:sz w:val="24"/>
          <w:szCs w:val="24"/>
          <w:highlight w:val="yellow"/>
        </w:rPr>
      </w:pPr>
    </w:p>
    <w:p w14:paraId="34C4BE12" w14:textId="77777777" w:rsidR="00C74952" w:rsidRPr="007B30CE" w:rsidRDefault="00C74952" w:rsidP="00C74952">
      <w:pPr>
        <w:pStyle w:val="ListParagraph"/>
        <w:numPr>
          <w:ilvl w:val="2"/>
          <w:numId w:val="24"/>
        </w:numPr>
        <w:spacing w:after="0" w:line="240" w:lineRule="auto"/>
        <w:ind w:left="709" w:hanging="709"/>
        <w:rPr>
          <w:rFonts w:ascii="Arial" w:hAnsi="Arial" w:cs="Arial"/>
          <w:b/>
          <w:sz w:val="24"/>
          <w:szCs w:val="24"/>
        </w:rPr>
      </w:pPr>
      <w:r w:rsidRPr="007B30CE">
        <w:rPr>
          <w:rFonts w:ascii="Arial" w:hAnsi="Arial" w:cs="Arial"/>
          <w:b/>
          <w:sz w:val="24"/>
          <w:szCs w:val="24"/>
        </w:rPr>
        <w:t xml:space="preserve">Savings and collaborative expenditure </w:t>
      </w:r>
    </w:p>
    <w:p w14:paraId="7ABC8CD5" w14:textId="77777777" w:rsidR="00C74952" w:rsidRPr="007B30CE" w:rsidRDefault="00C74952" w:rsidP="00C74952">
      <w:pPr>
        <w:spacing w:after="0" w:line="240" w:lineRule="auto"/>
        <w:rPr>
          <w:rFonts w:ascii="Arial" w:hAnsi="Arial" w:cs="Arial"/>
          <w:sz w:val="24"/>
          <w:szCs w:val="24"/>
          <w:highlight w:val="yellow"/>
        </w:rPr>
      </w:pPr>
    </w:p>
    <w:p w14:paraId="2E73AE7B" w14:textId="77777777" w:rsidR="00C74952" w:rsidRPr="007B30CE" w:rsidRDefault="00C74952" w:rsidP="00C74952">
      <w:pPr>
        <w:spacing w:after="0" w:line="240" w:lineRule="auto"/>
        <w:jc w:val="both"/>
        <w:rPr>
          <w:rFonts w:ascii="Arial" w:hAnsi="Arial" w:cs="Arial"/>
          <w:sz w:val="24"/>
          <w:szCs w:val="24"/>
        </w:rPr>
      </w:pPr>
      <w:r w:rsidRPr="007B30CE">
        <w:rPr>
          <w:rFonts w:ascii="Arial" w:hAnsi="Arial" w:cs="Arial"/>
          <w:sz w:val="24"/>
          <w:szCs w:val="24"/>
        </w:rPr>
        <w:t xml:space="preserve">Procurement continually strives to seek Best Value for the organisation. All tender evaluations consider environmental impact, equality and diversity, community benefits and whole life costing where appropriate. </w:t>
      </w:r>
    </w:p>
    <w:p w14:paraId="26F97C20" w14:textId="77777777" w:rsidR="00C74952" w:rsidRPr="007B30CE" w:rsidRDefault="00C74952" w:rsidP="00C74952">
      <w:pPr>
        <w:spacing w:after="0" w:line="240" w:lineRule="auto"/>
        <w:jc w:val="both"/>
        <w:rPr>
          <w:rFonts w:ascii="Arial" w:hAnsi="Arial" w:cs="Arial"/>
          <w:sz w:val="24"/>
          <w:szCs w:val="24"/>
        </w:rPr>
      </w:pPr>
      <w:r w:rsidRPr="007B30CE">
        <w:rPr>
          <w:rFonts w:ascii="Arial" w:hAnsi="Arial" w:cs="Arial"/>
          <w:sz w:val="24"/>
          <w:szCs w:val="24"/>
        </w:rPr>
        <w:t>The figures below represent the expenditure and benefits achieved through collaborative contracts and local contracts.</w:t>
      </w:r>
    </w:p>
    <w:p w14:paraId="4C1BB07D" w14:textId="77777777" w:rsidR="00C74952" w:rsidRPr="007B30CE" w:rsidRDefault="00C74952" w:rsidP="00C74952">
      <w:pPr>
        <w:spacing w:after="0" w:line="240" w:lineRule="auto"/>
        <w:rPr>
          <w:rFonts w:ascii="Arial" w:hAnsi="Arial" w:cs="Arial"/>
          <w:color w:val="FF0000"/>
          <w:sz w:val="24"/>
          <w:szCs w:val="24"/>
          <w:highlight w:val="yellow"/>
        </w:rPr>
      </w:pPr>
    </w:p>
    <w:tbl>
      <w:tblPr>
        <w:tblW w:w="103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2119"/>
        <w:gridCol w:w="1559"/>
        <w:gridCol w:w="1134"/>
        <w:gridCol w:w="1701"/>
        <w:gridCol w:w="1084"/>
        <w:gridCol w:w="1609"/>
        <w:gridCol w:w="1151"/>
      </w:tblGrid>
      <w:tr w:rsidR="00C74952" w:rsidRPr="007B30CE" w14:paraId="52033E63" w14:textId="77777777" w:rsidTr="006D4C3B">
        <w:trPr>
          <w:trHeight w:val="383"/>
          <w:jc w:val="center"/>
        </w:trPr>
        <w:tc>
          <w:tcPr>
            <w:tcW w:w="2119" w:type="dxa"/>
            <w:tcBorders>
              <w:bottom w:val="single" w:sz="6" w:space="0" w:color="auto"/>
            </w:tcBorders>
            <w:shd w:val="clear" w:color="auto" w:fill="D9D9D9" w:themeFill="background1" w:themeFillShade="D9"/>
          </w:tcPr>
          <w:p w14:paraId="5D4E9595" w14:textId="77777777" w:rsidR="00C74952" w:rsidRPr="007B30CE" w:rsidRDefault="00C74952" w:rsidP="002F24A3">
            <w:pPr>
              <w:spacing w:after="0" w:line="240" w:lineRule="auto"/>
              <w:rPr>
                <w:rFonts w:ascii="Arial" w:hAnsi="Arial" w:cs="Arial"/>
                <w:b/>
                <w:color w:val="FF0000"/>
                <w:sz w:val="24"/>
                <w:szCs w:val="24"/>
                <w:highlight w:val="yellow"/>
              </w:rPr>
            </w:pPr>
          </w:p>
        </w:tc>
        <w:tc>
          <w:tcPr>
            <w:tcW w:w="2693" w:type="dxa"/>
            <w:gridSpan w:val="2"/>
            <w:tcBorders>
              <w:bottom w:val="single" w:sz="6" w:space="0" w:color="auto"/>
            </w:tcBorders>
            <w:shd w:val="clear" w:color="auto" w:fill="D9D9D9" w:themeFill="background1" w:themeFillShade="D9"/>
            <w:vAlign w:val="center"/>
          </w:tcPr>
          <w:p w14:paraId="2ACD5DBB" w14:textId="77777777" w:rsidR="00C74952" w:rsidRPr="007B30CE" w:rsidRDefault="00C74952" w:rsidP="002F24A3">
            <w:pPr>
              <w:spacing w:after="0" w:line="240" w:lineRule="auto"/>
              <w:jc w:val="center"/>
              <w:rPr>
                <w:rFonts w:ascii="Arial" w:hAnsi="Arial" w:cs="Arial"/>
                <w:b/>
                <w:sz w:val="24"/>
                <w:szCs w:val="24"/>
              </w:rPr>
            </w:pPr>
            <w:r w:rsidRPr="007B30CE">
              <w:rPr>
                <w:rFonts w:ascii="Arial" w:hAnsi="Arial" w:cs="Arial"/>
                <w:b/>
                <w:sz w:val="24"/>
                <w:szCs w:val="24"/>
              </w:rPr>
              <w:t>FY2019/20</w:t>
            </w:r>
          </w:p>
        </w:tc>
        <w:tc>
          <w:tcPr>
            <w:tcW w:w="2785" w:type="dxa"/>
            <w:gridSpan w:val="2"/>
            <w:tcBorders>
              <w:bottom w:val="single" w:sz="6" w:space="0" w:color="auto"/>
            </w:tcBorders>
            <w:shd w:val="clear" w:color="auto" w:fill="D9D9D9" w:themeFill="background1" w:themeFillShade="D9"/>
            <w:vAlign w:val="center"/>
          </w:tcPr>
          <w:p w14:paraId="2391984A" w14:textId="77777777" w:rsidR="00C74952" w:rsidRPr="007B30CE" w:rsidRDefault="00C74952" w:rsidP="002F24A3">
            <w:pPr>
              <w:spacing w:after="0" w:line="240" w:lineRule="auto"/>
              <w:jc w:val="center"/>
              <w:rPr>
                <w:rFonts w:ascii="Arial" w:hAnsi="Arial" w:cs="Arial"/>
                <w:b/>
                <w:sz w:val="24"/>
                <w:szCs w:val="24"/>
                <w:highlight w:val="yellow"/>
              </w:rPr>
            </w:pPr>
            <w:r w:rsidRPr="007B30CE">
              <w:rPr>
                <w:rFonts w:ascii="Arial" w:hAnsi="Arial" w:cs="Arial"/>
                <w:b/>
                <w:sz w:val="24"/>
                <w:szCs w:val="24"/>
              </w:rPr>
              <w:t>FY 2018/19</w:t>
            </w:r>
          </w:p>
        </w:tc>
        <w:tc>
          <w:tcPr>
            <w:tcW w:w="2760" w:type="dxa"/>
            <w:gridSpan w:val="2"/>
            <w:tcBorders>
              <w:bottom w:val="single" w:sz="6" w:space="0" w:color="auto"/>
            </w:tcBorders>
            <w:shd w:val="clear" w:color="auto" w:fill="D9D9D9" w:themeFill="background1" w:themeFillShade="D9"/>
            <w:vAlign w:val="center"/>
          </w:tcPr>
          <w:p w14:paraId="238C220E" w14:textId="77777777" w:rsidR="00C74952" w:rsidRPr="007B30CE" w:rsidRDefault="00C74952" w:rsidP="002F24A3">
            <w:pPr>
              <w:spacing w:after="0" w:line="240" w:lineRule="auto"/>
              <w:jc w:val="center"/>
              <w:rPr>
                <w:rFonts w:ascii="Arial" w:hAnsi="Arial" w:cs="Arial"/>
                <w:b/>
                <w:sz w:val="24"/>
                <w:szCs w:val="24"/>
              </w:rPr>
            </w:pPr>
            <w:r w:rsidRPr="007B30CE">
              <w:rPr>
                <w:rFonts w:ascii="Arial" w:hAnsi="Arial" w:cs="Arial"/>
                <w:b/>
                <w:sz w:val="24"/>
                <w:szCs w:val="24"/>
              </w:rPr>
              <w:t>FY 2017/18</w:t>
            </w:r>
          </w:p>
        </w:tc>
      </w:tr>
      <w:tr w:rsidR="00C74952" w:rsidRPr="007B30CE" w14:paraId="4604F8B2" w14:textId="77777777" w:rsidTr="006D4C3B">
        <w:trPr>
          <w:jc w:val="center"/>
        </w:trPr>
        <w:tc>
          <w:tcPr>
            <w:tcW w:w="2119" w:type="dxa"/>
            <w:shd w:val="clear" w:color="auto" w:fill="D9D9D9" w:themeFill="background1" w:themeFillShade="D9"/>
            <w:vAlign w:val="center"/>
          </w:tcPr>
          <w:p w14:paraId="617D4ADB" w14:textId="77777777" w:rsidR="00C74952" w:rsidRPr="007B30CE" w:rsidRDefault="00C74952" w:rsidP="002F24A3">
            <w:pPr>
              <w:spacing w:after="0" w:line="240" w:lineRule="auto"/>
              <w:rPr>
                <w:rFonts w:ascii="Arial" w:hAnsi="Arial" w:cs="Arial"/>
                <w:b/>
                <w:sz w:val="24"/>
                <w:szCs w:val="24"/>
              </w:rPr>
            </w:pPr>
            <w:r w:rsidRPr="007B30CE">
              <w:rPr>
                <w:rFonts w:ascii="Arial" w:hAnsi="Arial" w:cs="Arial"/>
                <w:b/>
                <w:sz w:val="24"/>
                <w:szCs w:val="24"/>
              </w:rPr>
              <w:t>Contract category</w:t>
            </w:r>
          </w:p>
        </w:tc>
        <w:tc>
          <w:tcPr>
            <w:tcW w:w="1559" w:type="dxa"/>
            <w:shd w:val="clear" w:color="auto" w:fill="D9D9D9" w:themeFill="background1" w:themeFillShade="D9"/>
            <w:vAlign w:val="center"/>
          </w:tcPr>
          <w:p w14:paraId="1EADAD2B" w14:textId="5F101CAC" w:rsidR="00C74952" w:rsidRPr="007B30CE" w:rsidRDefault="00C74952" w:rsidP="002F24A3">
            <w:pPr>
              <w:spacing w:after="0" w:line="240" w:lineRule="auto"/>
              <w:jc w:val="center"/>
              <w:rPr>
                <w:rFonts w:ascii="Arial" w:hAnsi="Arial" w:cs="Arial"/>
                <w:b/>
                <w:sz w:val="24"/>
                <w:szCs w:val="24"/>
              </w:rPr>
            </w:pPr>
            <w:r w:rsidRPr="007B30CE">
              <w:rPr>
                <w:rFonts w:ascii="Arial" w:hAnsi="Arial" w:cs="Arial"/>
                <w:b/>
                <w:sz w:val="24"/>
                <w:szCs w:val="24"/>
              </w:rPr>
              <w:t>Contract</w:t>
            </w:r>
            <w:r w:rsidR="006D4C3B">
              <w:rPr>
                <w:rFonts w:ascii="Arial" w:hAnsi="Arial" w:cs="Arial"/>
                <w:b/>
                <w:sz w:val="24"/>
                <w:szCs w:val="24"/>
              </w:rPr>
              <w:t>ed</w:t>
            </w:r>
            <w:r w:rsidRPr="007B30CE">
              <w:rPr>
                <w:rFonts w:ascii="Arial" w:hAnsi="Arial" w:cs="Arial"/>
                <w:b/>
                <w:sz w:val="24"/>
                <w:szCs w:val="24"/>
              </w:rPr>
              <w:t xml:space="preserve"> spend</w:t>
            </w:r>
          </w:p>
        </w:tc>
        <w:tc>
          <w:tcPr>
            <w:tcW w:w="1134" w:type="dxa"/>
            <w:shd w:val="clear" w:color="auto" w:fill="D9D9D9" w:themeFill="background1" w:themeFillShade="D9"/>
          </w:tcPr>
          <w:p w14:paraId="07D91CE5" w14:textId="49B34F2C" w:rsidR="00C74952" w:rsidRPr="007B30CE" w:rsidRDefault="00C74952" w:rsidP="007B30CE">
            <w:pPr>
              <w:spacing w:after="0" w:line="240" w:lineRule="auto"/>
              <w:jc w:val="center"/>
              <w:rPr>
                <w:rFonts w:ascii="Arial" w:hAnsi="Arial" w:cs="Arial"/>
                <w:b/>
                <w:sz w:val="24"/>
                <w:szCs w:val="24"/>
              </w:rPr>
            </w:pPr>
            <w:r w:rsidRPr="007B30CE">
              <w:rPr>
                <w:rFonts w:ascii="Arial" w:hAnsi="Arial" w:cs="Arial"/>
                <w:b/>
                <w:sz w:val="24"/>
                <w:szCs w:val="24"/>
              </w:rPr>
              <w:t>% Annual spend</w:t>
            </w:r>
          </w:p>
        </w:tc>
        <w:tc>
          <w:tcPr>
            <w:tcW w:w="1701" w:type="dxa"/>
            <w:shd w:val="clear" w:color="auto" w:fill="D9D9D9" w:themeFill="background1" w:themeFillShade="D9"/>
            <w:vAlign w:val="center"/>
          </w:tcPr>
          <w:p w14:paraId="2F36419A" w14:textId="4EB3C6CA" w:rsidR="00C74952" w:rsidRPr="007B30CE" w:rsidRDefault="00C74952" w:rsidP="002F24A3">
            <w:pPr>
              <w:spacing w:after="0" w:line="240" w:lineRule="auto"/>
              <w:jc w:val="center"/>
              <w:rPr>
                <w:rFonts w:ascii="Arial" w:hAnsi="Arial" w:cs="Arial"/>
                <w:b/>
                <w:sz w:val="24"/>
                <w:szCs w:val="24"/>
              </w:rPr>
            </w:pPr>
            <w:r w:rsidRPr="007B30CE">
              <w:rPr>
                <w:rFonts w:ascii="Arial" w:hAnsi="Arial" w:cs="Arial"/>
                <w:b/>
                <w:sz w:val="24"/>
                <w:szCs w:val="24"/>
              </w:rPr>
              <w:t>Contract</w:t>
            </w:r>
            <w:r w:rsidR="006D4C3B">
              <w:rPr>
                <w:rFonts w:ascii="Arial" w:hAnsi="Arial" w:cs="Arial"/>
                <w:b/>
                <w:sz w:val="24"/>
                <w:szCs w:val="24"/>
              </w:rPr>
              <w:t>ed</w:t>
            </w:r>
            <w:r w:rsidRPr="007B30CE">
              <w:rPr>
                <w:rFonts w:ascii="Arial" w:hAnsi="Arial" w:cs="Arial"/>
                <w:b/>
                <w:sz w:val="24"/>
                <w:szCs w:val="24"/>
              </w:rPr>
              <w:t xml:space="preserve"> spend</w:t>
            </w:r>
          </w:p>
        </w:tc>
        <w:tc>
          <w:tcPr>
            <w:tcW w:w="1084" w:type="dxa"/>
            <w:shd w:val="clear" w:color="auto" w:fill="D9D9D9" w:themeFill="background1" w:themeFillShade="D9"/>
          </w:tcPr>
          <w:p w14:paraId="4F7F8491" w14:textId="1C25073A" w:rsidR="00C74952" w:rsidRPr="007B30CE" w:rsidRDefault="00C74952" w:rsidP="007B30CE">
            <w:pPr>
              <w:spacing w:after="0" w:line="240" w:lineRule="auto"/>
              <w:jc w:val="center"/>
              <w:rPr>
                <w:rFonts w:ascii="Arial" w:hAnsi="Arial" w:cs="Arial"/>
                <w:b/>
                <w:sz w:val="24"/>
                <w:szCs w:val="24"/>
              </w:rPr>
            </w:pPr>
            <w:r w:rsidRPr="007B30CE">
              <w:rPr>
                <w:rFonts w:ascii="Arial" w:hAnsi="Arial" w:cs="Arial"/>
                <w:b/>
                <w:sz w:val="24"/>
                <w:szCs w:val="24"/>
              </w:rPr>
              <w:t>%  Annual spend</w:t>
            </w:r>
          </w:p>
        </w:tc>
        <w:tc>
          <w:tcPr>
            <w:tcW w:w="1609" w:type="dxa"/>
            <w:shd w:val="clear" w:color="auto" w:fill="D9D9D9" w:themeFill="background1" w:themeFillShade="D9"/>
            <w:vAlign w:val="center"/>
          </w:tcPr>
          <w:p w14:paraId="6A0D7D6C" w14:textId="7705249C" w:rsidR="00C74952" w:rsidRPr="007B30CE" w:rsidRDefault="00C74952" w:rsidP="002F24A3">
            <w:pPr>
              <w:spacing w:after="0" w:line="240" w:lineRule="auto"/>
              <w:jc w:val="center"/>
              <w:rPr>
                <w:rFonts w:ascii="Arial" w:hAnsi="Arial" w:cs="Arial"/>
                <w:b/>
                <w:sz w:val="24"/>
                <w:szCs w:val="24"/>
              </w:rPr>
            </w:pPr>
            <w:r w:rsidRPr="007B30CE">
              <w:rPr>
                <w:rFonts w:ascii="Arial" w:hAnsi="Arial" w:cs="Arial"/>
                <w:b/>
                <w:sz w:val="24"/>
                <w:szCs w:val="24"/>
              </w:rPr>
              <w:t>Contract</w:t>
            </w:r>
            <w:r w:rsidR="006D4C3B">
              <w:rPr>
                <w:rFonts w:ascii="Arial" w:hAnsi="Arial" w:cs="Arial"/>
                <w:b/>
                <w:sz w:val="24"/>
                <w:szCs w:val="24"/>
              </w:rPr>
              <w:t>ed</w:t>
            </w:r>
            <w:r w:rsidRPr="007B30CE">
              <w:rPr>
                <w:rFonts w:ascii="Arial" w:hAnsi="Arial" w:cs="Arial"/>
                <w:b/>
                <w:sz w:val="24"/>
                <w:szCs w:val="24"/>
              </w:rPr>
              <w:t xml:space="preserve"> spend</w:t>
            </w:r>
          </w:p>
        </w:tc>
        <w:tc>
          <w:tcPr>
            <w:tcW w:w="1151" w:type="dxa"/>
            <w:shd w:val="clear" w:color="auto" w:fill="D9D9D9" w:themeFill="background1" w:themeFillShade="D9"/>
          </w:tcPr>
          <w:p w14:paraId="5CDC1C82" w14:textId="77777777" w:rsidR="007B30CE" w:rsidRDefault="00C74952" w:rsidP="007B30CE">
            <w:pPr>
              <w:spacing w:after="0" w:line="240" w:lineRule="auto"/>
              <w:jc w:val="center"/>
              <w:rPr>
                <w:rFonts w:ascii="Arial" w:hAnsi="Arial" w:cs="Arial"/>
                <w:b/>
                <w:sz w:val="24"/>
                <w:szCs w:val="24"/>
              </w:rPr>
            </w:pPr>
            <w:r w:rsidRPr="007B30CE">
              <w:rPr>
                <w:rFonts w:ascii="Arial" w:hAnsi="Arial" w:cs="Arial"/>
                <w:b/>
                <w:sz w:val="24"/>
                <w:szCs w:val="24"/>
              </w:rPr>
              <w:t xml:space="preserve">% </w:t>
            </w:r>
          </w:p>
          <w:p w14:paraId="229194C4" w14:textId="4DAC0F84" w:rsidR="00C74952" w:rsidRPr="007B30CE" w:rsidRDefault="00C74952" w:rsidP="007B30CE">
            <w:pPr>
              <w:spacing w:after="0" w:line="240" w:lineRule="auto"/>
              <w:jc w:val="center"/>
              <w:rPr>
                <w:rFonts w:ascii="Arial" w:hAnsi="Arial" w:cs="Arial"/>
                <w:b/>
                <w:sz w:val="24"/>
                <w:szCs w:val="24"/>
              </w:rPr>
            </w:pPr>
            <w:r w:rsidRPr="007B30CE">
              <w:rPr>
                <w:rFonts w:ascii="Arial" w:hAnsi="Arial" w:cs="Arial"/>
                <w:b/>
                <w:sz w:val="24"/>
                <w:szCs w:val="24"/>
              </w:rPr>
              <w:t>Annual spend</w:t>
            </w:r>
          </w:p>
        </w:tc>
      </w:tr>
      <w:tr w:rsidR="008D48A2" w:rsidRPr="007B30CE" w14:paraId="3A189D9A" w14:textId="77777777" w:rsidTr="006D4C3B">
        <w:trPr>
          <w:jc w:val="center"/>
        </w:trPr>
        <w:tc>
          <w:tcPr>
            <w:tcW w:w="2119" w:type="dxa"/>
          </w:tcPr>
          <w:p w14:paraId="47C5A82B" w14:textId="27F704DB" w:rsidR="008D48A2" w:rsidRPr="007B30CE" w:rsidRDefault="008D48A2" w:rsidP="007B30CE">
            <w:pPr>
              <w:spacing w:after="0" w:line="240" w:lineRule="auto"/>
              <w:jc w:val="both"/>
              <w:rPr>
                <w:rFonts w:ascii="Arial" w:hAnsi="Arial" w:cs="Arial"/>
                <w:sz w:val="24"/>
                <w:szCs w:val="24"/>
              </w:rPr>
            </w:pPr>
            <w:r w:rsidRPr="007B30CE">
              <w:rPr>
                <w:rFonts w:ascii="Arial" w:hAnsi="Arial" w:cs="Arial"/>
                <w:sz w:val="24"/>
                <w:szCs w:val="24"/>
              </w:rPr>
              <w:t>Cat A</w:t>
            </w:r>
            <w:r w:rsidRPr="007B30CE">
              <w:rPr>
                <w:rFonts w:ascii="Arial" w:hAnsi="Arial" w:cs="Arial"/>
                <w:sz w:val="24"/>
                <w:szCs w:val="24"/>
                <w:vertAlign w:val="superscript"/>
              </w:rPr>
              <w:footnoteReference w:id="1"/>
            </w:r>
            <w:r w:rsidRPr="007B30CE">
              <w:rPr>
                <w:rFonts w:ascii="Arial" w:hAnsi="Arial" w:cs="Arial"/>
                <w:sz w:val="24"/>
                <w:szCs w:val="24"/>
              </w:rPr>
              <w:tab/>
              <w:t>Spend</w:t>
            </w:r>
          </w:p>
          <w:p w14:paraId="04D15BDB" w14:textId="54B95AFF" w:rsidR="008D48A2" w:rsidRPr="007B30CE" w:rsidRDefault="008D48A2" w:rsidP="007B30CE">
            <w:pPr>
              <w:spacing w:after="0" w:line="240" w:lineRule="auto"/>
              <w:jc w:val="both"/>
              <w:rPr>
                <w:rFonts w:ascii="Arial" w:hAnsi="Arial" w:cs="Arial"/>
                <w:sz w:val="24"/>
                <w:szCs w:val="24"/>
              </w:rPr>
            </w:pPr>
            <w:r w:rsidRPr="007B30CE">
              <w:rPr>
                <w:rFonts w:ascii="Arial" w:hAnsi="Arial" w:cs="Arial"/>
                <w:sz w:val="24"/>
                <w:szCs w:val="24"/>
              </w:rPr>
              <w:t>Cash Savings</w:t>
            </w:r>
            <w:r w:rsidRPr="007B30CE">
              <w:rPr>
                <w:rFonts w:ascii="Arial" w:hAnsi="Arial"/>
                <w:sz w:val="24"/>
                <w:szCs w:val="24"/>
                <w:vertAlign w:val="superscript"/>
              </w:rPr>
              <w:footnoteReference w:id="2"/>
            </w:r>
          </w:p>
        </w:tc>
        <w:tc>
          <w:tcPr>
            <w:tcW w:w="1559" w:type="dxa"/>
            <w:shd w:val="clear" w:color="auto" w:fill="auto"/>
          </w:tcPr>
          <w:p w14:paraId="3D2C37C3" w14:textId="77777777" w:rsidR="008D48A2" w:rsidRPr="007B30CE" w:rsidRDefault="008D48A2" w:rsidP="008D48A2">
            <w:pPr>
              <w:spacing w:after="0" w:line="240" w:lineRule="auto"/>
              <w:jc w:val="right"/>
              <w:rPr>
                <w:rFonts w:ascii="Arial" w:hAnsi="Arial" w:cs="Arial"/>
                <w:sz w:val="24"/>
                <w:szCs w:val="24"/>
              </w:rPr>
            </w:pPr>
            <w:r w:rsidRPr="007B30CE">
              <w:rPr>
                <w:rFonts w:ascii="Arial" w:hAnsi="Arial" w:cs="Arial"/>
                <w:sz w:val="24"/>
                <w:szCs w:val="24"/>
              </w:rPr>
              <w:t>£2,524,871</w:t>
            </w:r>
          </w:p>
          <w:p w14:paraId="6EBD990D" w14:textId="64640150" w:rsidR="008D48A2" w:rsidRPr="007B30CE" w:rsidRDefault="008D48A2" w:rsidP="008D48A2">
            <w:pPr>
              <w:spacing w:after="0" w:line="240" w:lineRule="auto"/>
              <w:jc w:val="right"/>
              <w:rPr>
                <w:rFonts w:ascii="Arial" w:hAnsi="Arial" w:cs="Arial"/>
                <w:sz w:val="24"/>
                <w:szCs w:val="24"/>
                <w:highlight w:val="yellow"/>
              </w:rPr>
            </w:pPr>
            <w:r w:rsidRPr="007B30CE">
              <w:rPr>
                <w:rFonts w:ascii="Arial" w:hAnsi="Arial" w:cs="Arial"/>
                <w:sz w:val="24"/>
                <w:szCs w:val="24"/>
              </w:rPr>
              <w:t>£222,756</w:t>
            </w:r>
          </w:p>
        </w:tc>
        <w:tc>
          <w:tcPr>
            <w:tcW w:w="1134" w:type="dxa"/>
            <w:shd w:val="clear" w:color="auto" w:fill="auto"/>
          </w:tcPr>
          <w:p w14:paraId="7AA58646" w14:textId="135A143D" w:rsidR="008D48A2" w:rsidRPr="007B30CE" w:rsidRDefault="008D48A2" w:rsidP="008D48A2">
            <w:pPr>
              <w:spacing w:after="0" w:line="240" w:lineRule="auto"/>
              <w:jc w:val="center"/>
              <w:rPr>
                <w:rFonts w:ascii="Arial" w:hAnsi="Arial" w:cs="Arial"/>
                <w:sz w:val="24"/>
                <w:szCs w:val="24"/>
                <w:highlight w:val="yellow"/>
              </w:rPr>
            </w:pPr>
            <w:r w:rsidRPr="007B30CE">
              <w:rPr>
                <w:rFonts w:ascii="Arial" w:hAnsi="Arial" w:cs="Arial"/>
                <w:sz w:val="24"/>
                <w:szCs w:val="24"/>
              </w:rPr>
              <w:t>16%</w:t>
            </w:r>
          </w:p>
        </w:tc>
        <w:tc>
          <w:tcPr>
            <w:tcW w:w="1701" w:type="dxa"/>
          </w:tcPr>
          <w:p w14:paraId="3B1D23B1" w14:textId="77777777" w:rsidR="008D48A2" w:rsidRPr="007B30CE" w:rsidRDefault="008D48A2" w:rsidP="008D48A2">
            <w:pPr>
              <w:spacing w:after="0" w:line="240" w:lineRule="auto"/>
              <w:jc w:val="right"/>
              <w:rPr>
                <w:rFonts w:ascii="Arial" w:hAnsi="Arial" w:cs="Arial"/>
                <w:sz w:val="24"/>
                <w:szCs w:val="24"/>
              </w:rPr>
            </w:pPr>
            <w:r w:rsidRPr="007B30CE">
              <w:rPr>
                <w:rFonts w:ascii="Arial" w:hAnsi="Arial" w:cs="Arial"/>
                <w:sz w:val="24"/>
                <w:szCs w:val="24"/>
              </w:rPr>
              <w:t>£2,931,964</w:t>
            </w:r>
          </w:p>
          <w:p w14:paraId="67EF054E" w14:textId="77777777" w:rsidR="008D48A2" w:rsidRPr="007B30CE" w:rsidRDefault="008D48A2" w:rsidP="008D48A2">
            <w:pPr>
              <w:spacing w:after="0" w:line="240" w:lineRule="auto"/>
              <w:jc w:val="right"/>
              <w:rPr>
                <w:rFonts w:ascii="Arial" w:hAnsi="Arial" w:cs="Arial"/>
                <w:sz w:val="24"/>
                <w:szCs w:val="24"/>
              </w:rPr>
            </w:pPr>
            <w:r w:rsidRPr="007B30CE">
              <w:rPr>
                <w:rFonts w:ascii="Arial" w:hAnsi="Arial" w:cs="Arial"/>
                <w:sz w:val="24"/>
                <w:szCs w:val="24"/>
              </w:rPr>
              <w:t>£301,781</w:t>
            </w:r>
          </w:p>
        </w:tc>
        <w:tc>
          <w:tcPr>
            <w:tcW w:w="1084" w:type="dxa"/>
          </w:tcPr>
          <w:p w14:paraId="57AB7087" w14:textId="77777777" w:rsidR="008D48A2" w:rsidRPr="007B30CE" w:rsidRDefault="008D48A2" w:rsidP="008D48A2">
            <w:pPr>
              <w:spacing w:after="0" w:line="240" w:lineRule="auto"/>
              <w:jc w:val="center"/>
              <w:rPr>
                <w:rFonts w:ascii="Arial" w:hAnsi="Arial" w:cs="Arial"/>
                <w:sz w:val="24"/>
                <w:szCs w:val="24"/>
              </w:rPr>
            </w:pPr>
            <w:r w:rsidRPr="007B30CE">
              <w:rPr>
                <w:rFonts w:ascii="Arial" w:hAnsi="Arial" w:cs="Arial"/>
                <w:sz w:val="24"/>
                <w:szCs w:val="24"/>
              </w:rPr>
              <w:t>14%</w:t>
            </w:r>
          </w:p>
        </w:tc>
        <w:tc>
          <w:tcPr>
            <w:tcW w:w="1609" w:type="dxa"/>
          </w:tcPr>
          <w:p w14:paraId="6708DA29" w14:textId="77777777" w:rsidR="008D48A2" w:rsidRPr="007B30CE" w:rsidRDefault="008D48A2" w:rsidP="008D48A2">
            <w:pPr>
              <w:spacing w:after="0" w:line="240" w:lineRule="auto"/>
              <w:jc w:val="right"/>
              <w:rPr>
                <w:rFonts w:ascii="Arial" w:hAnsi="Arial" w:cs="Arial"/>
                <w:sz w:val="24"/>
                <w:szCs w:val="24"/>
              </w:rPr>
            </w:pPr>
            <w:r w:rsidRPr="007B30CE">
              <w:rPr>
                <w:rFonts w:ascii="Arial" w:hAnsi="Arial" w:cs="Arial"/>
                <w:sz w:val="24"/>
                <w:szCs w:val="24"/>
              </w:rPr>
              <w:t>£2,363,257</w:t>
            </w:r>
          </w:p>
          <w:p w14:paraId="59A63F0B" w14:textId="77777777" w:rsidR="008D48A2" w:rsidRPr="007B30CE" w:rsidRDefault="008D48A2" w:rsidP="008D48A2">
            <w:pPr>
              <w:spacing w:after="0" w:line="240" w:lineRule="auto"/>
              <w:jc w:val="right"/>
              <w:rPr>
                <w:rFonts w:ascii="Arial" w:hAnsi="Arial" w:cs="Arial"/>
                <w:sz w:val="24"/>
                <w:szCs w:val="24"/>
              </w:rPr>
            </w:pPr>
            <w:r w:rsidRPr="007B30CE">
              <w:rPr>
                <w:rFonts w:ascii="Arial" w:hAnsi="Arial" w:cs="Arial"/>
                <w:sz w:val="24"/>
                <w:szCs w:val="24"/>
              </w:rPr>
              <w:t>£391,067</w:t>
            </w:r>
          </w:p>
        </w:tc>
        <w:tc>
          <w:tcPr>
            <w:tcW w:w="1151" w:type="dxa"/>
          </w:tcPr>
          <w:p w14:paraId="59CD7544" w14:textId="77777777" w:rsidR="008D48A2" w:rsidRPr="007B30CE" w:rsidRDefault="008D48A2" w:rsidP="008D48A2">
            <w:pPr>
              <w:spacing w:after="0" w:line="240" w:lineRule="auto"/>
              <w:jc w:val="center"/>
              <w:rPr>
                <w:rFonts w:ascii="Arial" w:hAnsi="Arial" w:cs="Arial"/>
                <w:sz w:val="24"/>
                <w:szCs w:val="24"/>
              </w:rPr>
            </w:pPr>
            <w:r w:rsidRPr="007B30CE">
              <w:rPr>
                <w:rFonts w:ascii="Arial" w:hAnsi="Arial" w:cs="Arial"/>
                <w:sz w:val="24"/>
                <w:szCs w:val="24"/>
              </w:rPr>
              <w:t>13%</w:t>
            </w:r>
          </w:p>
        </w:tc>
      </w:tr>
      <w:tr w:rsidR="008D48A2" w:rsidRPr="007B30CE" w14:paraId="5638D774" w14:textId="77777777" w:rsidTr="006D4C3B">
        <w:trPr>
          <w:jc w:val="center"/>
        </w:trPr>
        <w:tc>
          <w:tcPr>
            <w:tcW w:w="2119" w:type="dxa"/>
          </w:tcPr>
          <w:p w14:paraId="5D62E600" w14:textId="3AF4EE01" w:rsidR="008D48A2" w:rsidRPr="007B30CE" w:rsidRDefault="008D48A2" w:rsidP="008D48A2">
            <w:pPr>
              <w:spacing w:after="0" w:line="240" w:lineRule="auto"/>
              <w:rPr>
                <w:rFonts w:ascii="Arial" w:hAnsi="Arial" w:cs="Arial"/>
                <w:sz w:val="24"/>
                <w:szCs w:val="24"/>
              </w:rPr>
            </w:pPr>
            <w:r w:rsidRPr="007B30CE">
              <w:rPr>
                <w:rFonts w:ascii="Arial" w:hAnsi="Arial" w:cs="Arial"/>
                <w:sz w:val="24"/>
                <w:szCs w:val="24"/>
              </w:rPr>
              <w:t>Cat B</w:t>
            </w:r>
            <w:r w:rsidRPr="007B30CE">
              <w:rPr>
                <w:rFonts w:ascii="Arial" w:hAnsi="Arial" w:cs="Arial"/>
                <w:sz w:val="24"/>
                <w:szCs w:val="24"/>
                <w:vertAlign w:val="superscript"/>
              </w:rPr>
              <w:footnoteReference w:id="3"/>
            </w:r>
            <w:r w:rsidRPr="007B30CE">
              <w:rPr>
                <w:rFonts w:ascii="Arial" w:hAnsi="Arial" w:cs="Arial"/>
                <w:sz w:val="24"/>
                <w:szCs w:val="24"/>
              </w:rPr>
              <w:tab/>
              <w:t xml:space="preserve">Spend </w:t>
            </w:r>
          </w:p>
          <w:p w14:paraId="361E6BA9" w14:textId="7321B81B" w:rsidR="008D48A2" w:rsidRPr="007B30CE" w:rsidRDefault="008D48A2" w:rsidP="008D48A2">
            <w:pPr>
              <w:spacing w:after="0" w:line="240" w:lineRule="auto"/>
              <w:rPr>
                <w:rFonts w:ascii="Arial" w:hAnsi="Arial" w:cs="Arial"/>
                <w:sz w:val="24"/>
                <w:szCs w:val="24"/>
              </w:rPr>
            </w:pPr>
            <w:r w:rsidRPr="007B30CE">
              <w:rPr>
                <w:rFonts w:ascii="Arial" w:hAnsi="Arial" w:cs="Arial"/>
                <w:sz w:val="24"/>
                <w:szCs w:val="24"/>
              </w:rPr>
              <w:t>Cash Savings</w:t>
            </w:r>
          </w:p>
        </w:tc>
        <w:tc>
          <w:tcPr>
            <w:tcW w:w="1559" w:type="dxa"/>
            <w:shd w:val="clear" w:color="auto" w:fill="auto"/>
          </w:tcPr>
          <w:p w14:paraId="0DEC8089" w14:textId="77777777" w:rsidR="008D48A2" w:rsidRPr="007B30CE" w:rsidRDefault="008D48A2" w:rsidP="008D48A2">
            <w:pPr>
              <w:spacing w:after="0" w:line="240" w:lineRule="auto"/>
              <w:jc w:val="right"/>
              <w:rPr>
                <w:rFonts w:ascii="Arial" w:hAnsi="Arial" w:cs="Arial"/>
                <w:sz w:val="24"/>
                <w:szCs w:val="24"/>
              </w:rPr>
            </w:pPr>
            <w:r w:rsidRPr="007B30CE">
              <w:rPr>
                <w:rFonts w:ascii="Arial" w:hAnsi="Arial" w:cs="Arial"/>
                <w:sz w:val="24"/>
                <w:szCs w:val="24"/>
              </w:rPr>
              <w:t>£77,075</w:t>
            </w:r>
          </w:p>
          <w:p w14:paraId="48150E2E" w14:textId="43D4F4DF" w:rsidR="008D48A2" w:rsidRPr="007B30CE" w:rsidRDefault="008D48A2" w:rsidP="006F46E8">
            <w:pPr>
              <w:spacing w:after="0" w:line="240" w:lineRule="auto"/>
              <w:jc w:val="right"/>
              <w:rPr>
                <w:rFonts w:ascii="Arial" w:hAnsi="Arial" w:cs="Arial"/>
                <w:sz w:val="24"/>
                <w:szCs w:val="24"/>
                <w:highlight w:val="yellow"/>
              </w:rPr>
            </w:pPr>
            <w:r w:rsidRPr="007B30CE">
              <w:rPr>
                <w:rFonts w:ascii="Arial" w:hAnsi="Arial" w:cs="Arial"/>
                <w:sz w:val="24"/>
                <w:szCs w:val="24"/>
              </w:rPr>
              <w:t>£</w:t>
            </w:r>
            <w:r w:rsidR="006F46E8" w:rsidRPr="007B30CE">
              <w:rPr>
                <w:rFonts w:ascii="Arial" w:hAnsi="Arial" w:cs="Arial"/>
                <w:sz w:val="24"/>
                <w:szCs w:val="24"/>
              </w:rPr>
              <w:t>8,367</w:t>
            </w:r>
          </w:p>
        </w:tc>
        <w:tc>
          <w:tcPr>
            <w:tcW w:w="1134" w:type="dxa"/>
            <w:shd w:val="clear" w:color="auto" w:fill="auto"/>
          </w:tcPr>
          <w:p w14:paraId="6ACDE81B" w14:textId="50F4716F" w:rsidR="008D48A2" w:rsidRPr="007B30CE" w:rsidRDefault="008D48A2" w:rsidP="008D48A2">
            <w:pPr>
              <w:spacing w:after="0" w:line="240" w:lineRule="auto"/>
              <w:jc w:val="center"/>
              <w:rPr>
                <w:rFonts w:ascii="Arial" w:hAnsi="Arial" w:cs="Arial"/>
                <w:sz w:val="24"/>
                <w:szCs w:val="24"/>
                <w:highlight w:val="yellow"/>
              </w:rPr>
            </w:pPr>
            <w:r w:rsidRPr="007B30CE">
              <w:rPr>
                <w:rFonts w:ascii="Arial" w:hAnsi="Arial" w:cs="Arial"/>
                <w:sz w:val="24"/>
                <w:szCs w:val="24"/>
              </w:rPr>
              <w:t>0.5%</w:t>
            </w:r>
          </w:p>
        </w:tc>
        <w:tc>
          <w:tcPr>
            <w:tcW w:w="1701" w:type="dxa"/>
          </w:tcPr>
          <w:p w14:paraId="784E3523" w14:textId="77777777" w:rsidR="008D48A2" w:rsidRPr="007B30CE" w:rsidRDefault="008D48A2" w:rsidP="008D48A2">
            <w:pPr>
              <w:spacing w:after="0" w:line="240" w:lineRule="auto"/>
              <w:jc w:val="right"/>
              <w:rPr>
                <w:rFonts w:ascii="Arial" w:hAnsi="Arial" w:cs="Arial"/>
                <w:sz w:val="24"/>
                <w:szCs w:val="24"/>
              </w:rPr>
            </w:pPr>
            <w:r w:rsidRPr="007B30CE">
              <w:rPr>
                <w:rFonts w:ascii="Arial" w:hAnsi="Arial" w:cs="Arial"/>
                <w:sz w:val="24"/>
                <w:szCs w:val="24"/>
              </w:rPr>
              <w:t>£137,523</w:t>
            </w:r>
          </w:p>
          <w:p w14:paraId="6B597E1E" w14:textId="77777777" w:rsidR="008D48A2" w:rsidRPr="007B30CE" w:rsidRDefault="008D48A2" w:rsidP="008D48A2">
            <w:pPr>
              <w:spacing w:after="0" w:line="240" w:lineRule="auto"/>
              <w:jc w:val="right"/>
              <w:rPr>
                <w:rFonts w:ascii="Arial" w:hAnsi="Arial" w:cs="Arial"/>
                <w:sz w:val="24"/>
                <w:szCs w:val="24"/>
              </w:rPr>
            </w:pPr>
            <w:r w:rsidRPr="007B30CE">
              <w:rPr>
                <w:rFonts w:ascii="Arial" w:hAnsi="Arial" w:cs="Arial"/>
                <w:sz w:val="24"/>
                <w:szCs w:val="24"/>
              </w:rPr>
              <w:t>£17,828</w:t>
            </w:r>
          </w:p>
        </w:tc>
        <w:tc>
          <w:tcPr>
            <w:tcW w:w="1084" w:type="dxa"/>
          </w:tcPr>
          <w:p w14:paraId="63482F38" w14:textId="77777777" w:rsidR="008D48A2" w:rsidRPr="007B30CE" w:rsidRDefault="008D48A2" w:rsidP="008D48A2">
            <w:pPr>
              <w:spacing w:after="0" w:line="240" w:lineRule="auto"/>
              <w:jc w:val="center"/>
              <w:rPr>
                <w:rFonts w:ascii="Arial" w:hAnsi="Arial" w:cs="Arial"/>
                <w:sz w:val="24"/>
                <w:szCs w:val="24"/>
              </w:rPr>
            </w:pPr>
            <w:r w:rsidRPr="007B30CE">
              <w:rPr>
                <w:rFonts w:ascii="Arial" w:hAnsi="Arial" w:cs="Arial"/>
                <w:sz w:val="24"/>
                <w:szCs w:val="24"/>
              </w:rPr>
              <w:t>1%</w:t>
            </w:r>
          </w:p>
        </w:tc>
        <w:tc>
          <w:tcPr>
            <w:tcW w:w="1609" w:type="dxa"/>
          </w:tcPr>
          <w:p w14:paraId="63486DF4" w14:textId="77777777" w:rsidR="008D48A2" w:rsidRPr="007B30CE" w:rsidRDefault="008D48A2" w:rsidP="008D48A2">
            <w:pPr>
              <w:spacing w:after="0" w:line="240" w:lineRule="auto"/>
              <w:jc w:val="right"/>
              <w:rPr>
                <w:rFonts w:ascii="Arial" w:hAnsi="Arial" w:cs="Arial"/>
                <w:sz w:val="24"/>
                <w:szCs w:val="24"/>
              </w:rPr>
            </w:pPr>
            <w:r w:rsidRPr="007B30CE">
              <w:rPr>
                <w:rFonts w:ascii="Arial" w:hAnsi="Arial" w:cs="Arial"/>
                <w:sz w:val="24"/>
                <w:szCs w:val="24"/>
              </w:rPr>
              <w:t>£266,779</w:t>
            </w:r>
          </w:p>
          <w:p w14:paraId="6CAF1815" w14:textId="77777777" w:rsidR="008D48A2" w:rsidRPr="007B30CE" w:rsidRDefault="008D48A2" w:rsidP="008D48A2">
            <w:pPr>
              <w:spacing w:after="0" w:line="240" w:lineRule="auto"/>
              <w:jc w:val="right"/>
              <w:rPr>
                <w:rFonts w:ascii="Arial" w:hAnsi="Arial" w:cs="Arial"/>
                <w:sz w:val="24"/>
                <w:szCs w:val="24"/>
              </w:rPr>
            </w:pPr>
            <w:r w:rsidRPr="007B30CE">
              <w:rPr>
                <w:rFonts w:ascii="Arial" w:hAnsi="Arial" w:cs="Arial"/>
                <w:sz w:val="24"/>
                <w:szCs w:val="24"/>
              </w:rPr>
              <w:t>£19,257</w:t>
            </w:r>
          </w:p>
        </w:tc>
        <w:tc>
          <w:tcPr>
            <w:tcW w:w="1151" w:type="dxa"/>
          </w:tcPr>
          <w:p w14:paraId="143BD3CB" w14:textId="77777777" w:rsidR="008D48A2" w:rsidRPr="007B30CE" w:rsidRDefault="008D48A2" w:rsidP="008D48A2">
            <w:pPr>
              <w:spacing w:after="0" w:line="240" w:lineRule="auto"/>
              <w:jc w:val="center"/>
              <w:rPr>
                <w:rFonts w:ascii="Arial" w:hAnsi="Arial" w:cs="Arial"/>
                <w:sz w:val="24"/>
                <w:szCs w:val="24"/>
              </w:rPr>
            </w:pPr>
            <w:r w:rsidRPr="007B30CE">
              <w:rPr>
                <w:rFonts w:ascii="Arial" w:hAnsi="Arial" w:cs="Arial"/>
                <w:sz w:val="24"/>
                <w:szCs w:val="24"/>
              </w:rPr>
              <w:t>1%</w:t>
            </w:r>
          </w:p>
        </w:tc>
      </w:tr>
      <w:tr w:rsidR="008D48A2" w:rsidRPr="007B30CE" w14:paraId="67596351" w14:textId="77777777" w:rsidTr="006D4C3B">
        <w:trPr>
          <w:jc w:val="center"/>
        </w:trPr>
        <w:tc>
          <w:tcPr>
            <w:tcW w:w="2119" w:type="dxa"/>
          </w:tcPr>
          <w:p w14:paraId="5DAE6CA2" w14:textId="153DCF41" w:rsidR="008D48A2" w:rsidRPr="007B30CE" w:rsidRDefault="008D48A2" w:rsidP="008D48A2">
            <w:pPr>
              <w:spacing w:after="0" w:line="240" w:lineRule="auto"/>
              <w:rPr>
                <w:rFonts w:ascii="Arial" w:hAnsi="Arial" w:cs="Arial"/>
                <w:sz w:val="24"/>
                <w:szCs w:val="24"/>
              </w:rPr>
            </w:pPr>
            <w:r w:rsidRPr="007B30CE">
              <w:rPr>
                <w:rFonts w:ascii="Arial" w:hAnsi="Arial" w:cs="Arial"/>
                <w:sz w:val="24"/>
                <w:szCs w:val="24"/>
              </w:rPr>
              <w:t>Cat C</w:t>
            </w:r>
            <w:r w:rsidRPr="007B30CE">
              <w:rPr>
                <w:rFonts w:ascii="Arial" w:hAnsi="Arial" w:cs="Arial"/>
                <w:sz w:val="24"/>
                <w:szCs w:val="24"/>
                <w:vertAlign w:val="superscript"/>
              </w:rPr>
              <w:footnoteReference w:id="4"/>
            </w:r>
            <w:r w:rsidRPr="007B30CE">
              <w:rPr>
                <w:rFonts w:ascii="Arial" w:hAnsi="Arial" w:cs="Arial"/>
                <w:sz w:val="24"/>
                <w:szCs w:val="24"/>
              </w:rPr>
              <w:tab/>
              <w:t>Spend</w:t>
            </w:r>
          </w:p>
          <w:p w14:paraId="078A677C" w14:textId="42E1189B" w:rsidR="008D48A2" w:rsidRPr="007B30CE" w:rsidRDefault="008D48A2" w:rsidP="008D48A2">
            <w:pPr>
              <w:spacing w:after="0" w:line="240" w:lineRule="auto"/>
              <w:rPr>
                <w:rFonts w:ascii="Arial" w:hAnsi="Arial" w:cs="Arial"/>
                <w:sz w:val="24"/>
                <w:szCs w:val="24"/>
              </w:rPr>
            </w:pPr>
            <w:r w:rsidRPr="007B30CE">
              <w:rPr>
                <w:rFonts w:ascii="Arial" w:hAnsi="Arial" w:cs="Arial"/>
                <w:sz w:val="24"/>
                <w:szCs w:val="24"/>
              </w:rPr>
              <w:t>Cash Savings</w:t>
            </w:r>
          </w:p>
        </w:tc>
        <w:tc>
          <w:tcPr>
            <w:tcW w:w="1559" w:type="dxa"/>
          </w:tcPr>
          <w:p w14:paraId="18634788" w14:textId="77777777" w:rsidR="008D48A2" w:rsidRPr="007B30CE" w:rsidRDefault="008D48A2" w:rsidP="008D48A2">
            <w:pPr>
              <w:spacing w:after="0" w:line="240" w:lineRule="auto"/>
              <w:jc w:val="right"/>
              <w:rPr>
                <w:rFonts w:ascii="Arial" w:hAnsi="Arial" w:cs="Arial"/>
                <w:sz w:val="24"/>
                <w:szCs w:val="24"/>
              </w:rPr>
            </w:pPr>
            <w:r w:rsidRPr="007B30CE">
              <w:rPr>
                <w:rFonts w:ascii="Arial" w:hAnsi="Arial" w:cs="Arial"/>
                <w:sz w:val="24"/>
                <w:szCs w:val="24"/>
              </w:rPr>
              <w:t>£6,696,834</w:t>
            </w:r>
          </w:p>
          <w:p w14:paraId="0C90911B" w14:textId="33BBE4D4" w:rsidR="008D48A2" w:rsidRPr="007B30CE" w:rsidRDefault="008D48A2" w:rsidP="008D48A2">
            <w:pPr>
              <w:spacing w:after="0" w:line="240" w:lineRule="auto"/>
              <w:jc w:val="right"/>
              <w:rPr>
                <w:rFonts w:ascii="Arial" w:hAnsi="Arial" w:cs="Arial"/>
                <w:sz w:val="24"/>
                <w:szCs w:val="24"/>
              </w:rPr>
            </w:pPr>
            <w:r w:rsidRPr="007B30CE">
              <w:rPr>
                <w:rFonts w:ascii="Arial" w:hAnsi="Arial" w:cs="Arial"/>
                <w:sz w:val="24"/>
                <w:szCs w:val="24"/>
              </w:rPr>
              <w:t>£538,785</w:t>
            </w:r>
          </w:p>
        </w:tc>
        <w:tc>
          <w:tcPr>
            <w:tcW w:w="1134" w:type="dxa"/>
          </w:tcPr>
          <w:p w14:paraId="211B7042" w14:textId="2D962166" w:rsidR="008D48A2" w:rsidRPr="007B30CE" w:rsidRDefault="008D48A2" w:rsidP="008D48A2">
            <w:pPr>
              <w:spacing w:after="0" w:line="240" w:lineRule="auto"/>
              <w:jc w:val="center"/>
              <w:rPr>
                <w:rFonts w:ascii="Arial" w:hAnsi="Arial" w:cs="Arial"/>
                <w:sz w:val="24"/>
                <w:szCs w:val="24"/>
              </w:rPr>
            </w:pPr>
            <w:r w:rsidRPr="007B30CE">
              <w:rPr>
                <w:rFonts w:ascii="Arial" w:hAnsi="Arial" w:cs="Arial"/>
                <w:sz w:val="24"/>
                <w:szCs w:val="24"/>
              </w:rPr>
              <w:t>42%</w:t>
            </w:r>
          </w:p>
        </w:tc>
        <w:tc>
          <w:tcPr>
            <w:tcW w:w="1701" w:type="dxa"/>
          </w:tcPr>
          <w:p w14:paraId="34AE5757" w14:textId="77777777" w:rsidR="008D48A2" w:rsidRPr="007B30CE" w:rsidRDefault="008D48A2" w:rsidP="008D48A2">
            <w:pPr>
              <w:spacing w:after="0" w:line="240" w:lineRule="auto"/>
              <w:jc w:val="right"/>
              <w:rPr>
                <w:rFonts w:ascii="Arial" w:hAnsi="Arial" w:cs="Arial"/>
                <w:sz w:val="24"/>
                <w:szCs w:val="24"/>
              </w:rPr>
            </w:pPr>
            <w:r w:rsidRPr="007B30CE">
              <w:rPr>
                <w:rFonts w:ascii="Arial" w:hAnsi="Arial" w:cs="Arial"/>
                <w:sz w:val="24"/>
                <w:szCs w:val="24"/>
              </w:rPr>
              <w:t>£7,017,565</w:t>
            </w:r>
          </w:p>
          <w:p w14:paraId="1F596366" w14:textId="77777777" w:rsidR="008D48A2" w:rsidRPr="007B30CE" w:rsidRDefault="008D48A2" w:rsidP="008D48A2">
            <w:pPr>
              <w:spacing w:after="0" w:line="240" w:lineRule="auto"/>
              <w:jc w:val="right"/>
              <w:rPr>
                <w:rFonts w:ascii="Arial" w:hAnsi="Arial" w:cs="Arial"/>
                <w:sz w:val="24"/>
                <w:szCs w:val="24"/>
              </w:rPr>
            </w:pPr>
            <w:r w:rsidRPr="007B30CE">
              <w:rPr>
                <w:rFonts w:ascii="Arial" w:hAnsi="Arial" w:cs="Arial"/>
                <w:sz w:val="24"/>
                <w:szCs w:val="24"/>
              </w:rPr>
              <w:t>£258,560</w:t>
            </w:r>
          </w:p>
        </w:tc>
        <w:tc>
          <w:tcPr>
            <w:tcW w:w="1084" w:type="dxa"/>
          </w:tcPr>
          <w:p w14:paraId="4346FBC6" w14:textId="77777777" w:rsidR="008D48A2" w:rsidRPr="007B30CE" w:rsidRDefault="008D48A2" w:rsidP="008D48A2">
            <w:pPr>
              <w:spacing w:after="0" w:line="240" w:lineRule="auto"/>
              <w:jc w:val="center"/>
              <w:rPr>
                <w:rFonts w:ascii="Arial" w:hAnsi="Arial" w:cs="Arial"/>
                <w:sz w:val="24"/>
                <w:szCs w:val="24"/>
              </w:rPr>
            </w:pPr>
            <w:r w:rsidRPr="007B30CE">
              <w:rPr>
                <w:rFonts w:ascii="Arial" w:hAnsi="Arial" w:cs="Arial"/>
                <w:sz w:val="24"/>
                <w:szCs w:val="24"/>
              </w:rPr>
              <w:t>34%</w:t>
            </w:r>
          </w:p>
        </w:tc>
        <w:tc>
          <w:tcPr>
            <w:tcW w:w="1609" w:type="dxa"/>
          </w:tcPr>
          <w:p w14:paraId="1535ABDB" w14:textId="77777777" w:rsidR="008D48A2" w:rsidRPr="007B30CE" w:rsidRDefault="008D48A2" w:rsidP="008D48A2">
            <w:pPr>
              <w:spacing w:after="0" w:line="240" w:lineRule="auto"/>
              <w:jc w:val="right"/>
              <w:rPr>
                <w:rFonts w:ascii="Arial" w:hAnsi="Arial" w:cs="Arial"/>
                <w:sz w:val="24"/>
                <w:szCs w:val="24"/>
              </w:rPr>
            </w:pPr>
            <w:r w:rsidRPr="007B30CE">
              <w:rPr>
                <w:rFonts w:ascii="Arial" w:hAnsi="Arial" w:cs="Arial"/>
                <w:sz w:val="24"/>
                <w:szCs w:val="24"/>
              </w:rPr>
              <w:t>£6,633,152</w:t>
            </w:r>
          </w:p>
          <w:p w14:paraId="470EAAA1" w14:textId="77777777" w:rsidR="008D48A2" w:rsidRPr="007B30CE" w:rsidRDefault="008D48A2" w:rsidP="008D48A2">
            <w:pPr>
              <w:spacing w:after="0" w:line="240" w:lineRule="auto"/>
              <w:jc w:val="right"/>
              <w:rPr>
                <w:rFonts w:ascii="Arial" w:hAnsi="Arial" w:cs="Arial"/>
                <w:sz w:val="24"/>
                <w:szCs w:val="24"/>
              </w:rPr>
            </w:pPr>
            <w:r w:rsidRPr="007B30CE">
              <w:rPr>
                <w:rFonts w:ascii="Arial" w:hAnsi="Arial" w:cs="Arial"/>
                <w:sz w:val="24"/>
                <w:szCs w:val="24"/>
              </w:rPr>
              <w:t>£652,837</w:t>
            </w:r>
          </w:p>
        </w:tc>
        <w:tc>
          <w:tcPr>
            <w:tcW w:w="1151" w:type="dxa"/>
          </w:tcPr>
          <w:p w14:paraId="18B4B390" w14:textId="77777777" w:rsidR="008D48A2" w:rsidRPr="007B30CE" w:rsidRDefault="008D48A2" w:rsidP="008D48A2">
            <w:pPr>
              <w:spacing w:after="0" w:line="240" w:lineRule="auto"/>
              <w:jc w:val="center"/>
              <w:rPr>
                <w:rFonts w:ascii="Arial" w:hAnsi="Arial" w:cs="Arial"/>
                <w:sz w:val="24"/>
                <w:szCs w:val="24"/>
              </w:rPr>
            </w:pPr>
            <w:r w:rsidRPr="007B30CE">
              <w:rPr>
                <w:rFonts w:ascii="Arial" w:hAnsi="Arial" w:cs="Arial"/>
                <w:sz w:val="24"/>
                <w:szCs w:val="24"/>
              </w:rPr>
              <w:t>35%</w:t>
            </w:r>
          </w:p>
        </w:tc>
      </w:tr>
      <w:tr w:rsidR="008D48A2" w:rsidRPr="007B30CE" w14:paraId="624C9421" w14:textId="77777777" w:rsidTr="006D4C3B">
        <w:trPr>
          <w:jc w:val="center"/>
        </w:trPr>
        <w:tc>
          <w:tcPr>
            <w:tcW w:w="2119" w:type="dxa"/>
          </w:tcPr>
          <w:p w14:paraId="5B857507" w14:textId="77777777" w:rsidR="007B30CE" w:rsidRDefault="008D48A2" w:rsidP="007B30CE">
            <w:pPr>
              <w:spacing w:after="0" w:line="240" w:lineRule="auto"/>
              <w:rPr>
                <w:rFonts w:ascii="Arial" w:hAnsi="Arial" w:cs="Arial"/>
                <w:b/>
                <w:sz w:val="24"/>
                <w:szCs w:val="24"/>
              </w:rPr>
            </w:pPr>
            <w:r w:rsidRPr="007B30CE">
              <w:rPr>
                <w:rFonts w:ascii="Arial" w:hAnsi="Arial" w:cs="Arial"/>
                <w:b/>
                <w:sz w:val="24"/>
                <w:szCs w:val="24"/>
              </w:rPr>
              <w:t>Total</w:t>
            </w:r>
            <w:r w:rsidRPr="007B30CE">
              <w:rPr>
                <w:rFonts w:ascii="Arial" w:hAnsi="Arial" w:cs="Arial"/>
                <w:b/>
                <w:sz w:val="24"/>
                <w:szCs w:val="24"/>
              </w:rPr>
              <w:tab/>
              <w:t>Spend</w:t>
            </w:r>
          </w:p>
          <w:p w14:paraId="6B44099E" w14:textId="123D7A31" w:rsidR="008D48A2" w:rsidRPr="007B30CE" w:rsidRDefault="008D48A2" w:rsidP="007B30CE">
            <w:pPr>
              <w:spacing w:after="0" w:line="240" w:lineRule="auto"/>
              <w:rPr>
                <w:rFonts w:ascii="Arial" w:hAnsi="Arial" w:cs="Arial"/>
                <w:b/>
                <w:sz w:val="24"/>
                <w:szCs w:val="24"/>
              </w:rPr>
            </w:pPr>
            <w:r w:rsidRPr="007B30CE">
              <w:rPr>
                <w:rFonts w:ascii="Arial" w:hAnsi="Arial" w:cs="Arial"/>
                <w:b/>
                <w:sz w:val="24"/>
                <w:szCs w:val="24"/>
              </w:rPr>
              <w:t>Cash Savings</w:t>
            </w:r>
          </w:p>
        </w:tc>
        <w:tc>
          <w:tcPr>
            <w:tcW w:w="1559" w:type="dxa"/>
            <w:shd w:val="clear" w:color="auto" w:fill="auto"/>
          </w:tcPr>
          <w:p w14:paraId="0A667C1B" w14:textId="77777777" w:rsidR="008D48A2" w:rsidRPr="007B30CE" w:rsidRDefault="008D48A2" w:rsidP="008D48A2">
            <w:pPr>
              <w:spacing w:after="0" w:line="240" w:lineRule="auto"/>
              <w:jc w:val="right"/>
              <w:rPr>
                <w:rFonts w:ascii="Arial" w:hAnsi="Arial" w:cs="Arial"/>
                <w:b/>
                <w:sz w:val="24"/>
                <w:szCs w:val="24"/>
              </w:rPr>
            </w:pPr>
            <w:r w:rsidRPr="007B30CE">
              <w:rPr>
                <w:rFonts w:ascii="Arial" w:hAnsi="Arial" w:cs="Arial"/>
                <w:b/>
                <w:sz w:val="24"/>
                <w:szCs w:val="24"/>
              </w:rPr>
              <w:t>£9,298,780</w:t>
            </w:r>
          </w:p>
          <w:p w14:paraId="2C31E185" w14:textId="18B3D866" w:rsidR="008D48A2" w:rsidRPr="007B30CE" w:rsidRDefault="008D48A2" w:rsidP="008D48A2">
            <w:pPr>
              <w:spacing w:after="0" w:line="240" w:lineRule="auto"/>
              <w:jc w:val="right"/>
              <w:rPr>
                <w:rFonts w:ascii="Arial" w:hAnsi="Arial" w:cs="Arial"/>
                <w:b/>
                <w:sz w:val="24"/>
                <w:szCs w:val="24"/>
              </w:rPr>
            </w:pPr>
            <w:r w:rsidRPr="007B30CE">
              <w:rPr>
                <w:rFonts w:ascii="Arial" w:hAnsi="Arial" w:cs="Arial"/>
                <w:b/>
                <w:sz w:val="24"/>
                <w:szCs w:val="24"/>
              </w:rPr>
              <w:t>£769,908</w:t>
            </w:r>
          </w:p>
        </w:tc>
        <w:tc>
          <w:tcPr>
            <w:tcW w:w="1134" w:type="dxa"/>
            <w:shd w:val="clear" w:color="auto" w:fill="auto"/>
          </w:tcPr>
          <w:p w14:paraId="10A56D2E" w14:textId="5D18BAC2" w:rsidR="008D48A2" w:rsidRPr="007B30CE" w:rsidRDefault="008D48A2" w:rsidP="008D48A2">
            <w:pPr>
              <w:spacing w:after="0" w:line="240" w:lineRule="auto"/>
              <w:jc w:val="center"/>
              <w:rPr>
                <w:rFonts w:ascii="Arial" w:hAnsi="Arial" w:cs="Arial"/>
                <w:b/>
                <w:sz w:val="24"/>
                <w:szCs w:val="24"/>
              </w:rPr>
            </w:pPr>
            <w:r w:rsidRPr="007B30CE">
              <w:rPr>
                <w:rFonts w:ascii="Arial" w:hAnsi="Arial" w:cs="Arial"/>
                <w:b/>
                <w:sz w:val="24"/>
                <w:szCs w:val="24"/>
              </w:rPr>
              <w:t>58%</w:t>
            </w:r>
          </w:p>
        </w:tc>
        <w:tc>
          <w:tcPr>
            <w:tcW w:w="1701" w:type="dxa"/>
          </w:tcPr>
          <w:p w14:paraId="355A4A97" w14:textId="77777777" w:rsidR="008D48A2" w:rsidRPr="007B30CE" w:rsidRDefault="008D48A2" w:rsidP="008D48A2">
            <w:pPr>
              <w:spacing w:after="0" w:line="240" w:lineRule="auto"/>
              <w:jc w:val="right"/>
              <w:rPr>
                <w:rFonts w:ascii="Arial" w:hAnsi="Arial" w:cs="Arial"/>
                <w:b/>
                <w:sz w:val="24"/>
                <w:szCs w:val="24"/>
              </w:rPr>
            </w:pPr>
            <w:r w:rsidRPr="007B30CE">
              <w:rPr>
                <w:rFonts w:ascii="Arial" w:hAnsi="Arial" w:cs="Arial"/>
                <w:b/>
                <w:sz w:val="24"/>
                <w:szCs w:val="24"/>
              </w:rPr>
              <w:t>£10,087,052</w:t>
            </w:r>
          </w:p>
          <w:p w14:paraId="63EC4444" w14:textId="77777777" w:rsidR="008D48A2" w:rsidRPr="007B30CE" w:rsidRDefault="008D48A2" w:rsidP="008D48A2">
            <w:pPr>
              <w:spacing w:after="0" w:line="240" w:lineRule="auto"/>
              <w:jc w:val="right"/>
              <w:rPr>
                <w:rFonts w:ascii="Arial" w:hAnsi="Arial" w:cs="Arial"/>
                <w:b/>
                <w:sz w:val="24"/>
                <w:szCs w:val="24"/>
              </w:rPr>
            </w:pPr>
            <w:r w:rsidRPr="007B30CE">
              <w:rPr>
                <w:rFonts w:ascii="Arial" w:hAnsi="Arial" w:cs="Arial"/>
                <w:b/>
                <w:sz w:val="24"/>
                <w:szCs w:val="24"/>
              </w:rPr>
              <w:t>£578,169</w:t>
            </w:r>
          </w:p>
        </w:tc>
        <w:tc>
          <w:tcPr>
            <w:tcW w:w="1084" w:type="dxa"/>
          </w:tcPr>
          <w:p w14:paraId="7A03D47E" w14:textId="77777777" w:rsidR="008D48A2" w:rsidRPr="007B30CE" w:rsidRDefault="008D48A2" w:rsidP="008D48A2">
            <w:pPr>
              <w:spacing w:after="0" w:line="240" w:lineRule="auto"/>
              <w:jc w:val="center"/>
              <w:rPr>
                <w:rFonts w:ascii="Arial" w:hAnsi="Arial" w:cs="Arial"/>
                <w:b/>
                <w:sz w:val="24"/>
                <w:szCs w:val="24"/>
              </w:rPr>
            </w:pPr>
            <w:r w:rsidRPr="007B30CE">
              <w:rPr>
                <w:rFonts w:ascii="Arial" w:hAnsi="Arial" w:cs="Arial"/>
                <w:b/>
                <w:sz w:val="24"/>
                <w:szCs w:val="24"/>
              </w:rPr>
              <w:t>49%</w:t>
            </w:r>
          </w:p>
        </w:tc>
        <w:tc>
          <w:tcPr>
            <w:tcW w:w="1609" w:type="dxa"/>
          </w:tcPr>
          <w:p w14:paraId="7FFBE646" w14:textId="77777777" w:rsidR="008D48A2" w:rsidRPr="007B30CE" w:rsidRDefault="008D48A2" w:rsidP="008D48A2">
            <w:pPr>
              <w:spacing w:after="0" w:line="240" w:lineRule="auto"/>
              <w:jc w:val="right"/>
              <w:rPr>
                <w:rFonts w:ascii="Arial" w:hAnsi="Arial" w:cs="Arial"/>
                <w:b/>
                <w:sz w:val="24"/>
                <w:szCs w:val="24"/>
              </w:rPr>
            </w:pPr>
            <w:r w:rsidRPr="007B30CE">
              <w:rPr>
                <w:rFonts w:ascii="Arial" w:hAnsi="Arial" w:cs="Arial"/>
                <w:b/>
                <w:sz w:val="24"/>
                <w:szCs w:val="24"/>
              </w:rPr>
              <w:t>£9,236,188</w:t>
            </w:r>
          </w:p>
          <w:p w14:paraId="7DBDF90C" w14:textId="77777777" w:rsidR="008D48A2" w:rsidRPr="007B30CE" w:rsidRDefault="008D48A2" w:rsidP="008D48A2">
            <w:pPr>
              <w:spacing w:after="0" w:line="240" w:lineRule="auto"/>
              <w:jc w:val="right"/>
              <w:rPr>
                <w:rFonts w:ascii="Arial" w:hAnsi="Arial" w:cs="Arial"/>
                <w:b/>
                <w:sz w:val="24"/>
                <w:szCs w:val="24"/>
              </w:rPr>
            </w:pPr>
            <w:r w:rsidRPr="007B30CE">
              <w:rPr>
                <w:rFonts w:ascii="Arial" w:hAnsi="Arial" w:cs="Arial"/>
                <w:b/>
                <w:sz w:val="24"/>
                <w:szCs w:val="24"/>
              </w:rPr>
              <w:t>£1,063,161</w:t>
            </w:r>
          </w:p>
        </w:tc>
        <w:tc>
          <w:tcPr>
            <w:tcW w:w="1151" w:type="dxa"/>
          </w:tcPr>
          <w:p w14:paraId="7C0837AB" w14:textId="77777777" w:rsidR="008D48A2" w:rsidRPr="007B30CE" w:rsidRDefault="008D48A2" w:rsidP="008D48A2">
            <w:pPr>
              <w:spacing w:after="0" w:line="240" w:lineRule="auto"/>
              <w:jc w:val="center"/>
              <w:rPr>
                <w:rFonts w:ascii="Arial" w:hAnsi="Arial" w:cs="Arial"/>
                <w:b/>
                <w:sz w:val="24"/>
                <w:szCs w:val="24"/>
              </w:rPr>
            </w:pPr>
            <w:r w:rsidRPr="007B30CE">
              <w:rPr>
                <w:rFonts w:ascii="Arial" w:hAnsi="Arial" w:cs="Arial"/>
                <w:b/>
                <w:sz w:val="24"/>
                <w:szCs w:val="24"/>
              </w:rPr>
              <w:t>49%</w:t>
            </w:r>
          </w:p>
        </w:tc>
      </w:tr>
    </w:tbl>
    <w:p w14:paraId="2EDB9D51" w14:textId="2F859DB9" w:rsidR="00C74952" w:rsidRDefault="00C74952" w:rsidP="00C74952">
      <w:pPr>
        <w:spacing w:after="0"/>
        <w:rPr>
          <w:rFonts w:ascii="Arial" w:hAnsi="Arial" w:cs="Arial"/>
          <w:b/>
          <w:color w:val="FF0000"/>
          <w:highlight w:val="yellow"/>
        </w:rPr>
      </w:pPr>
    </w:p>
    <w:p w14:paraId="3A2EF269" w14:textId="77777777" w:rsidR="00C74952" w:rsidRPr="0044785F" w:rsidRDefault="00C74952" w:rsidP="00FC3161">
      <w:pPr>
        <w:pStyle w:val="ListParagraph"/>
        <w:numPr>
          <w:ilvl w:val="0"/>
          <w:numId w:val="24"/>
        </w:numPr>
        <w:spacing w:after="0" w:line="240" w:lineRule="auto"/>
        <w:ind w:left="426" w:hanging="142"/>
        <w:rPr>
          <w:rFonts w:ascii="Arial" w:hAnsi="Arial" w:cs="Arial"/>
          <w:b/>
          <w:color w:val="215868" w:themeColor="accent5" w:themeShade="80"/>
          <w:sz w:val="32"/>
          <w:szCs w:val="32"/>
        </w:rPr>
      </w:pPr>
      <w:r w:rsidRPr="0044785F">
        <w:rPr>
          <w:rFonts w:ascii="Arial" w:hAnsi="Arial" w:cs="Arial"/>
          <w:b/>
          <w:color w:val="215868" w:themeColor="accent5" w:themeShade="80"/>
          <w:sz w:val="32"/>
          <w:szCs w:val="32"/>
        </w:rPr>
        <w:t xml:space="preserve">Specific duties under Public Reform (Scotland) Act 2014 </w:t>
      </w:r>
    </w:p>
    <w:p w14:paraId="361672A6" w14:textId="77777777" w:rsidR="00C74952" w:rsidRPr="000F1803" w:rsidRDefault="00C74952" w:rsidP="00C74952">
      <w:pPr>
        <w:spacing w:after="0"/>
        <w:rPr>
          <w:rFonts w:ascii="Arial" w:hAnsi="Arial" w:cs="Arial"/>
          <w:highlight w:val="yellow"/>
        </w:rPr>
      </w:pPr>
    </w:p>
    <w:p w14:paraId="16390F3E" w14:textId="77777777" w:rsidR="00C74952" w:rsidRPr="00FC3161" w:rsidRDefault="00C74952" w:rsidP="00C74952">
      <w:pPr>
        <w:spacing w:after="0" w:line="240" w:lineRule="auto"/>
        <w:jc w:val="both"/>
        <w:rPr>
          <w:rFonts w:ascii="Arial" w:hAnsi="Arial" w:cs="Arial"/>
          <w:sz w:val="24"/>
          <w:szCs w:val="24"/>
        </w:rPr>
      </w:pPr>
      <w:r w:rsidRPr="00FC3161">
        <w:rPr>
          <w:rFonts w:ascii="Arial" w:hAnsi="Arial" w:cs="Arial"/>
          <w:sz w:val="24"/>
          <w:szCs w:val="24"/>
        </w:rPr>
        <w:t>Under the Public Reform (Scotland) Act 2014, specific duties have been placed on procurement in terms of the Sustainable Procurement Duty (paragraph 9), Supported Businesses (paragraph 11), and Community Benefits (paragraph 25).</w:t>
      </w:r>
    </w:p>
    <w:p w14:paraId="260A7532" w14:textId="77777777" w:rsidR="00C74952" w:rsidRPr="00070B35" w:rsidRDefault="00C74952" w:rsidP="00C74952">
      <w:pPr>
        <w:spacing w:after="0" w:line="240" w:lineRule="auto"/>
        <w:jc w:val="both"/>
        <w:rPr>
          <w:rFonts w:ascii="Arial" w:hAnsi="Arial" w:cs="Arial"/>
          <w:color w:val="FF0000"/>
          <w:highlight w:val="yellow"/>
        </w:rPr>
      </w:pPr>
    </w:p>
    <w:p w14:paraId="7A3ED76D" w14:textId="77777777" w:rsidR="00C74952" w:rsidRPr="005C6BEC" w:rsidRDefault="00C74952" w:rsidP="00FC3161">
      <w:pPr>
        <w:pStyle w:val="ListParagraph"/>
        <w:numPr>
          <w:ilvl w:val="0"/>
          <w:numId w:val="27"/>
        </w:numPr>
        <w:spacing w:after="0" w:line="240" w:lineRule="auto"/>
        <w:ind w:left="567" w:hanging="567"/>
        <w:jc w:val="both"/>
        <w:rPr>
          <w:rFonts w:ascii="Arial" w:hAnsi="Arial" w:cs="Arial"/>
          <w:color w:val="000000" w:themeColor="text1"/>
          <w:sz w:val="28"/>
          <w:szCs w:val="28"/>
        </w:rPr>
      </w:pPr>
      <w:r w:rsidRPr="005C6BEC">
        <w:rPr>
          <w:rFonts w:ascii="Arial" w:hAnsi="Arial" w:cs="Arial"/>
          <w:b/>
          <w:color w:val="000000" w:themeColor="text1"/>
          <w:sz w:val="28"/>
          <w:szCs w:val="28"/>
        </w:rPr>
        <w:t>Sustainable Procurement</w:t>
      </w:r>
    </w:p>
    <w:p w14:paraId="57DB6FC0" w14:textId="77777777" w:rsidR="00C74952" w:rsidRPr="00FC3161" w:rsidRDefault="00C74952" w:rsidP="00C74952">
      <w:pPr>
        <w:spacing w:after="0" w:line="240" w:lineRule="auto"/>
        <w:jc w:val="both"/>
        <w:rPr>
          <w:rFonts w:ascii="Arial" w:hAnsi="Arial" w:cs="Arial"/>
          <w:b/>
          <w:color w:val="000000" w:themeColor="text1"/>
          <w:sz w:val="24"/>
          <w:szCs w:val="24"/>
          <w:highlight w:val="yellow"/>
        </w:rPr>
      </w:pPr>
    </w:p>
    <w:p w14:paraId="185AFC08" w14:textId="4C861608" w:rsidR="00C74952" w:rsidRPr="00FC3161" w:rsidRDefault="00C74952" w:rsidP="00C74952">
      <w:pPr>
        <w:tabs>
          <w:tab w:val="center" w:pos="4153"/>
          <w:tab w:val="right" w:pos="8306"/>
        </w:tabs>
        <w:spacing w:after="0" w:line="240" w:lineRule="auto"/>
        <w:jc w:val="both"/>
        <w:rPr>
          <w:rFonts w:ascii="Arial" w:hAnsi="Arial" w:cs="Arial"/>
          <w:color w:val="000000" w:themeColor="text1"/>
          <w:sz w:val="24"/>
          <w:szCs w:val="24"/>
        </w:rPr>
      </w:pPr>
      <w:r w:rsidRPr="00FC3161">
        <w:rPr>
          <w:rFonts w:ascii="Arial" w:hAnsi="Arial" w:cs="Arial"/>
          <w:color w:val="000000" w:themeColor="text1"/>
          <w:sz w:val="24"/>
          <w:szCs w:val="24"/>
        </w:rPr>
        <w:t>A formal sustainable procurement action plan has now been put in place which shows a roadmap to SEPA achieving level 3 on the flexible framework</w:t>
      </w:r>
      <w:r w:rsidR="003132FC" w:rsidRPr="00FC3161">
        <w:rPr>
          <w:rFonts w:ascii="Arial" w:hAnsi="Arial" w:cs="Arial"/>
          <w:color w:val="000000" w:themeColor="text1"/>
          <w:sz w:val="24"/>
          <w:szCs w:val="24"/>
        </w:rPr>
        <w:t xml:space="preserve"> by the end of 2020/21</w:t>
      </w:r>
      <w:r w:rsidRPr="00FC3161">
        <w:rPr>
          <w:rFonts w:ascii="Arial" w:hAnsi="Arial" w:cs="Arial"/>
          <w:color w:val="000000" w:themeColor="text1"/>
          <w:sz w:val="24"/>
          <w:szCs w:val="24"/>
        </w:rPr>
        <w:t xml:space="preserve">. </w:t>
      </w:r>
      <w:r w:rsidR="002F24A3" w:rsidRPr="00FC3161">
        <w:rPr>
          <w:rFonts w:ascii="Arial" w:hAnsi="Arial" w:cs="Arial"/>
          <w:color w:val="000000" w:themeColor="text1"/>
          <w:sz w:val="24"/>
          <w:szCs w:val="24"/>
        </w:rPr>
        <w:t>P</w:t>
      </w:r>
      <w:r w:rsidRPr="00FC3161">
        <w:rPr>
          <w:rFonts w:ascii="Arial" w:hAnsi="Arial" w:cs="Arial"/>
          <w:color w:val="000000" w:themeColor="text1"/>
          <w:sz w:val="24"/>
          <w:szCs w:val="24"/>
        </w:rPr>
        <w:t xml:space="preserve">rocurement </w:t>
      </w:r>
      <w:r w:rsidR="002F24A3" w:rsidRPr="00FC3161">
        <w:rPr>
          <w:rFonts w:ascii="Arial" w:hAnsi="Arial" w:cs="Arial"/>
          <w:color w:val="000000" w:themeColor="text1"/>
          <w:sz w:val="24"/>
          <w:szCs w:val="24"/>
        </w:rPr>
        <w:t>practice has been strengthened</w:t>
      </w:r>
      <w:r w:rsidRPr="00FC3161">
        <w:rPr>
          <w:rFonts w:ascii="Arial" w:hAnsi="Arial" w:cs="Arial"/>
          <w:color w:val="000000" w:themeColor="text1"/>
          <w:sz w:val="24"/>
          <w:szCs w:val="24"/>
        </w:rPr>
        <w:t xml:space="preserve"> during 2019/20</w:t>
      </w:r>
      <w:r w:rsidR="003132FC" w:rsidRPr="00FC3161">
        <w:rPr>
          <w:rFonts w:ascii="Arial" w:hAnsi="Arial" w:cs="Arial"/>
          <w:color w:val="000000" w:themeColor="text1"/>
          <w:sz w:val="24"/>
          <w:szCs w:val="24"/>
        </w:rPr>
        <w:t>. This</w:t>
      </w:r>
      <w:r w:rsidRPr="00FC3161">
        <w:rPr>
          <w:rFonts w:ascii="Arial" w:hAnsi="Arial" w:cs="Arial"/>
          <w:color w:val="000000" w:themeColor="text1"/>
          <w:sz w:val="24"/>
          <w:szCs w:val="24"/>
        </w:rPr>
        <w:t xml:space="preserve"> will enable effective sustainable procurement in future years. Individual projects which have supported SEPA’s wider objectives of One Planet Prosperity include:</w:t>
      </w:r>
    </w:p>
    <w:p w14:paraId="75838C3B" w14:textId="77777777" w:rsidR="00C74952" w:rsidRPr="00FC3161" w:rsidRDefault="00C74952" w:rsidP="00914B30">
      <w:pPr>
        <w:pStyle w:val="ListParagraph"/>
        <w:numPr>
          <w:ilvl w:val="0"/>
          <w:numId w:val="44"/>
        </w:numPr>
        <w:tabs>
          <w:tab w:val="center" w:pos="4153"/>
          <w:tab w:val="right" w:pos="8306"/>
        </w:tabs>
        <w:spacing w:after="0" w:line="240" w:lineRule="auto"/>
        <w:ind w:left="1134" w:hanging="425"/>
        <w:jc w:val="both"/>
        <w:rPr>
          <w:rFonts w:ascii="Arial" w:hAnsi="Arial" w:cs="Arial"/>
          <w:color w:val="000000" w:themeColor="text1"/>
          <w:sz w:val="24"/>
          <w:szCs w:val="24"/>
        </w:rPr>
      </w:pPr>
      <w:r w:rsidRPr="00FC3161">
        <w:rPr>
          <w:rFonts w:ascii="Arial" w:hAnsi="Arial" w:cs="Arial"/>
          <w:color w:val="000000" w:themeColor="text1"/>
          <w:sz w:val="24"/>
          <w:szCs w:val="24"/>
        </w:rPr>
        <w:t>Procurement of six electric cars for use in the pool car fleet</w:t>
      </w:r>
    </w:p>
    <w:p w14:paraId="52A79EA8" w14:textId="77777777" w:rsidR="00C74952" w:rsidRPr="00FC3161" w:rsidRDefault="00C74952" w:rsidP="00914B30">
      <w:pPr>
        <w:pStyle w:val="ListParagraph"/>
        <w:numPr>
          <w:ilvl w:val="0"/>
          <w:numId w:val="44"/>
        </w:numPr>
        <w:tabs>
          <w:tab w:val="center" w:pos="4153"/>
          <w:tab w:val="right" w:pos="8306"/>
        </w:tabs>
        <w:spacing w:after="0" w:line="240" w:lineRule="auto"/>
        <w:ind w:left="1134" w:hanging="425"/>
        <w:jc w:val="both"/>
        <w:rPr>
          <w:rFonts w:ascii="Arial" w:hAnsi="Arial" w:cs="Arial"/>
          <w:color w:val="000000" w:themeColor="text1"/>
          <w:sz w:val="24"/>
          <w:szCs w:val="24"/>
        </w:rPr>
      </w:pPr>
      <w:r w:rsidRPr="00FC3161">
        <w:rPr>
          <w:rFonts w:ascii="Arial" w:hAnsi="Arial" w:cs="Arial"/>
          <w:color w:val="000000" w:themeColor="text1"/>
          <w:sz w:val="24"/>
          <w:szCs w:val="24"/>
        </w:rPr>
        <w:t>Procurement of three electric vans for the transfer of scientific samples</w:t>
      </w:r>
    </w:p>
    <w:p w14:paraId="037E6A2D" w14:textId="77777777" w:rsidR="00C74952" w:rsidRPr="00FC3161" w:rsidRDefault="00C74952" w:rsidP="00914B30">
      <w:pPr>
        <w:pStyle w:val="ListParagraph"/>
        <w:numPr>
          <w:ilvl w:val="0"/>
          <w:numId w:val="44"/>
        </w:numPr>
        <w:tabs>
          <w:tab w:val="center" w:pos="4153"/>
          <w:tab w:val="right" w:pos="8306"/>
        </w:tabs>
        <w:spacing w:after="0" w:line="240" w:lineRule="auto"/>
        <w:ind w:left="1134" w:hanging="425"/>
        <w:jc w:val="both"/>
        <w:rPr>
          <w:rFonts w:ascii="Arial" w:hAnsi="Arial" w:cs="Arial"/>
          <w:color w:val="000000" w:themeColor="text1"/>
          <w:sz w:val="24"/>
          <w:szCs w:val="24"/>
        </w:rPr>
      </w:pPr>
      <w:r w:rsidRPr="00FC3161">
        <w:rPr>
          <w:rFonts w:ascii="Arial" w:hAnsi="Arial" w:cs="Arial"/>
          <w:color w:val="000000" w:themeColor="text1"/>
          <w:sz w:val="24"/>
          <w:szCs w:val="24"/>
        </w:rPr>
        <w:lastRenderedPageBreak/>
        <w:t>Installation of car charging infrastructure across a number of SEPA offices</w:t>
      </w:r>
    </w:p>
    <w:p w14:paraId="23BBFD57" w14:textId="715E2CF6" w:rsidR="00C74952" w:rsidRPr="00FC3161" w:rsidRDefault="00C74952" w:rsidP="00914B30">
      <w:pPr>
        <w:pStyle w:val="ListParagraph"/>
        <w:numPr>
          <w:ilvl w:val="0"/>
          <w:numId w:val="44"/>
        </w:numPr>
        <w:tabs>
          <w:tab w:val="center" w:pos="4153"/>
          <w:tab w:val="right" w:pos="8306"/>
        </w:tabs>
        <w:spacing w:after="0" w:line="240" w:lineRule="auto"/>
        <w:ind w:left="1134" w:hanging="425"/>
        <w:jc w:val="both"/>
        <w:rPr>
          <w:rFonts w:ascii="Arial" w:hAnsi="Arial" w:cs="Arial"/>
          <w:color w:val="000000" w:themeColor="text1"/>
          <w:sz w:val="24"/>
          <w:szCs w:val="24"/>
        </w:rPr>
      </w:pPr>
      <w:r w:rsidRPr="00FC3161">
        <w:rPr>
          <w:rFonts w:ascii="Arial" w:hAnsi="Arial" w:cs="Arial"/>
          <w:color w:val="000000" w:themeColor="text1"/>
          <w:sz w:val="24"/>
          <w:szCs w:val="24"/>
        </w:rPr>
        <w:t xml:space="preserve">Consolidation of paper </w:t>
      </w:r>
      <w:r w:rsidR="00DD2BE9" w:rsidRPr="00FC3161">
        <w:rPr>
          <w:rFonts w:ascii="Arial" w:hAnsi="Arial" w:cs="Arial"/>
          <w:color w:val="000000" w:themeColor="text1"/>
          <w:sz w:val="24"/>
          <w:szCs w:val="24"/>
        </w:rPr>
        <w:t xml:space="preserve">supply </w:t>
      </w:r>
      <w:r w:rsidRPr="00FC3161">
        <w:rPr>
          <w:rFonts w:ascii="Arial" w:hAnsi="Arial" w:cs="Arial"/>
          <w:color w:val="000000" w:themeColor="text1"/>
          <w:sz w:val="24"/>
          <w:szCs w:val="24"/>
        </w:rPr>
        <w:t>requirements to a more sustainable alternative</w:t>
      </w:r>
    </w:p>
    <w:p w14:paraId="7DF2C6E5" w14:textId="77777777" w:rsidR="00C74952" w:rsidRPr="00B53947" w:rsidRDefault="00C74952" w:rsidP="00914B30">
      <w:pPr>
        <w:pStyle w:val="ListParagraph"/>
        <w:numPr>
          <w:ilvl w:val="0"/>
          <w:numId w:val="44"/>
        </w:numPr>
        <w:tabs>
          <w:tab w:val="center" w:pos="4153"/>
          <w:tab w:val="right" w:pos="8306"/>
        </w:tabs>
        <w:spacing w:after="0" w:line="240" w:lineRule="auto"/>
        <w:ind w:left="1134" w:hanging="425"/>
        <w:jc w:val="both"/>
        <w:rPr>
          <w:rFonts w:ascii="Arial" w:hAnsi="Arial" w:cs="Arial"/>
          <w:color w:val="000000" w:themeColor="text1"/>
        </w:rPr>
      </w:pPr>
      <w:r w:rsidRPr="00B53947">
        <w:rPr>
          <w:rFonts w:ascii="Arial" w:hAnsi="Arial" w:cs="Arial"/>
          <w:color w:val="000000" w:themeColor="text1"/>
        </w:rPr>
        <w:t>Improved sustainability criteria for Water Environment Fund direct commissioning</w:t>
      </w:r>
    </w:p>
    <w:p w14:paraId="65C54CA7" w14:textId="77777777" w:rsidR="00C74952" w:rsidRPr="00B53947" w:rsidRDefault="00C74952" w:rsidP="00C74952">
      <w:pPr>
        <w:tabs>
          <w:tab w:val="center" w:pos="4153"/>
          <w:tab w:val="right" w:pos="8306"/>
        </w:tabs>
        <w:spacing w:after="0" w:line="240" w:lineRule="auto"/>
        <w:jc w:val="both"/>
        <w:rPr>
          <w:rFonts w:ascii="Arial" w:hAnsi="Arial" w:cs="Arial"/>
          <w:color w:val="000000" w:themeColor="text1"/>
        </w:rPr>
      </w:pPr>
    </w:p>
    <w:p w14:paraId="3090D477" w14:textId="4CD226B5" w:rsidR="00C74952" w:rsidRPr="00FC3161" w:rsidRDefault="003132FC" w:rsidP="00FC3161">
      <w:pPr>
        <w:pStyle w:val="ListParagraph"/>
        <w:numPr>
          <w:ilvl w:val="0"/>
          <w:numId w:val="27"/>
        </w:numPr>
        <w:spacing w:after="0" w:line="240" w:lineRule="auto"/>
        <w:ind w:left="567" w:hanging="567"/>
        <w:jc w:val="both"/>
        <w:rPr>
          <w:rFonts w:ascii="Arial" w:hAnsi="Arial" w:cs="Arial"/>
          <w:b/>
          <w:color w:val="000000" w:themeColor="text1"/>
          <w:sz w:val="24"/>
          <w:szCs w:val="24"/>
        </w:rPr>
      </w:pPr>
      <w:r w:rsidRPr="00FC3161">
        <w:rPr>
          <w:rFonts w:ascii="Arial" w:hAnsi="Arial" w:cs="Arial"/>
          <w:b/>
          <w:color w:val="000000" w:themeColor="text1"/>
          <w:sz w:val="24"/>
          <w:szCs w:val="24"/>
        </w:rPr>
        <w:t>Su</w:t>
      </w:r>
      <w:r w:rsidR="00C74952" w:rsidRPr="00FC3161">
        <w:rPr>
          <w:rFonts w:ascii="Arial" w:hAnsi="Arial" w:cs="Arial"/>
          <w:b/>
          <w:color w:val="000000" w:themeColor="text1"/>
          <w:sz w:val="24"/>
          <w:szCs w:val="24"/>
        </w:rPr>
        <w:t>pported businesses</w:t>
      </w:r>
    </w:p>
    <w:p w14:paraId="3F339B78" w14:textId="77777777" w:rsidR="00C74952" w:rsidRPr="00FC3161" w:rsidRDefault="00C74952" w:rsidP="00FC3161">
      <w:pPr>
        <w:spacing w:after="0" w:line="240" w:lineRule="auto"/>
        <w:ind w:left="567" w:hanging="567"/>
        <w:jc w:val="both"/>
        <w:rPr>
          <w:rFonts w:ascii="Arial" w:hAnsi="Arial" w:cs="Arial"/>
          <w:b/>
          <w:sz w:val="24"/>
          <w:szCs w:val="24"/>
          <w:highlight w:val="yellow"/>
        </w:rPr>
      </w:pPr>
    </w:p>
    <w:p w14:paraId="39E013F3" w14:textId="716FD6D6" w:rsidR="00C74952" w:rsidRPr="00FC3161" w:rsidRDefault="00C74952" w:rsidP="00FC3161">
      <w:pPr>
        <w:spacing w:after="0" w:line="240" w:lineRule="auto"/>
        <w:jc w:val="both"/>
        <w:rPr>
          <w:rFonts w:ascii="Arial" w:hAnsi="Arial" w:cs="Arial"/>
          <w:sz w:val="24"/>
          <w:szCs w:val="24"/>
        </w:rPr>
      </w:pPr>
      <w:r w:rsidRPr="00FC3161">
        <w:rPr>
          <w:rFonts w:ascii="Arial" w:hAnsi="Arial" w:cs="Arial"/>
          <w:sz w:val="24"/>
          <w:szCs w:val="24"/>
        </w:rPr>
        <w:t xml:space="preserve">SEPA has made </w:t>
      </w:r>
      <w:r w:rsidR="00B05755" w:rsidRPr="00FC3161">
        <w:rPr>
          <w:rFonts w:ascii="Arial" w:hAnsi="Arial" w:cs="Arial"/>
          <w:sz w:val="24"/>
          <w:szCs w:val="24"/>
        </w:rPr>
        <w:t xml:space="preserve">limited use of </w:t>
      </w:r>
      <w:r w:rsidRPr="00FC3161">
        <w:rPr>
          <w:rFonts w:ascii="Arial" w:hAnsi="Arial" w:cs="Arial"/>
          <w:sz w:val="24"/>
          <w:szCs w:val="24"/>
        </w:rPr>
        <w:t xml:space="preserve">Supported Businesses in 2019/20 following the closure </w:t>
      </w:r>
      <w:r w:rsidR="00FC3161">
        <w:rPr>
          <w:rFonts w:ascii="Arial" w:hAnsi="Arial" w:cs="Arial"/>
          <w:sz w:val="24"/>
          <w:szCs w:val="24"/>
        </w:rPr>
        <w:t xml:space="preserve">of a </w:t>
      </w:r>
      <w:r w:rsidRPr="00FC3161">
        <w:rPr>
          <w:rFonts w:ascii="Arial" w:hAnsi="Arial" w:cs="Arial"/>
          <w:sz w:val="24"/>
          <w:szCs w:val="24"/>
        </w:rPr>
        <w:t xml:space="preserve">Supported Business used for a number of years. </w:t>
      </w:r>
      <w:r w:rsidR="00B05755" w:rsidRPr="00FC3161">
        <w:rPr>
          <w:rFonts w:ascii="Arial" w:hAnsi="Arial" w:cs="Arial"/>
          <w:sz w:val="24"/>
          <w:szCs w:val="24"/>
        </w:rPr>
        <w:t>However, SEPA successfully used a document scanning service provided by Capture All Ltd</w:t>
      </w:r>
      <w:r w:rsidR="00A1011F" w:rsidRPr="00FC3161">
        <w:rPr>
          <w:rFonts w:ascii="Arial" w:hAnsi="Arial" w:cs="Arial"/>
          <w:sz w:val="24"/>
          <w:szCs w:val="24"/>
        </w:rPr>
        <w:t xml:space="preserve"> with a value of £1,480.  </w:t>
      </w:r>
      <w:r w:rsidRPr="00FC3161">
        <w:rPr>
          <w:rFonts w:ascii="Arial" w:hAnsi="Arial" w:cs="Arial"/>
          <w:sz w:val="24"/>
          <w:szCs w:val="24"/>
        </w:rPr>
        <w:t xml:space="preserve">This position is being reviewed and it is expected that Supported Business spend will increase in 2020/21. </w:t>
      </w:r>
    </w:p>
    <w:p w14:paraId="20A60741" w14:textId="3128DE1D" w:rsidR="00B05755" w:rsidRDefault="00B05755" w:rsidP="00C74952">
      <w:pPr>
        <w:spacing w:after="0" w:line="240" w:lineRule="auto"/>
        <w:jc w:val="both"/>
        <w:rPr>
          <w:rFonts w:ascii="Arial" w:hAnsi="Arial" w:cs="Arial"/>
        </w:rPr>
      </w:pPr>
    </w:p>
    <w:p w14:paraId="57051B14" w14:textId="77777777" w:rsidR="00C74952" w:rsidRPr="00FC3161" w:rsidRDefault="00C74952" w:rsidP="00FC3161">
      <w:pPr>
        <w:pStyle w:val="ListParagraph"/>
        <w:numPr>
          <w:ilvl w:val="0"/>
          <w:numId w:val="27"/>
        </w:numPr>
        <w:spacing w:after="0" w:line="240" w:lineRule="auto"/>
        <w:ind w:left="567" w:hanging="567"/>
        <w:jc w:val="both"/>
        <w:rPr>
          <w:rFonts w:ascii="Arial" w:hAnsi="Arial" w:cs="Arial"/>
          <w:b/>
          <w:sz w:val="24"/>
          <w:szCs w:val="24"/>
        </w:rPr>
      </w:pPr>
      <w:r w:rsidRPr="00FC3161">
        <w:rPr>
          <w:rFonts w:ascii="Arial" w:hAnsi="Arial" w:cs="Arial"/>
          <w:b/>
          <w:sz w:val="24"/>
          <w:szCs w:val="24"/>
        </w:rPr>
        <w:t xml:space="preserve">Community benefits  </w:t>
      </w:r>
    </w:p>
    <w:p w14:paraId="79ECBD28" w14:textId="77777777" w:rsidR="00C74952" w:rsidRPr="00FC3161" w:rsidRDefault="00C74952" w:rsidP="00C74952">
      <w:pPr>
        <w:spacing w:after="0" w:line="240" w:lineRule="auto"/>
        <w:jc w:val="both"/>
        <w:rPr>
          <w:rFonts w:ascii="Arial" w:hAnsi="Arial" w:cs="Arial"/>
          <w:sz w:val="24"/>
          <w:szCs w:val="24"/>
          <w:highlight w:val="yellow"/>
        </w:rPr>
      </w:pPr>
    </w:p>
    <w:p w14:paraId="0A21A125" w14:textId="03579F11" w:rsidR="00C74952" w:rsidRPr="00FC3161" w:rsidRDefault="00C74952" w:rsidP="00C74952">
      <w:pPr>
        <w:spacing w:after="0" w:line="240" w:lineRule="auto"/>
        <w:jc w:val="both"/>
        <w:rPr>
          <w:rFonts w:ascii="Arial" w:hAnsi="Arial" w:cs="Arial"/>
          <w:i/>
          <w:sz w:val="24"/>
          <w:szCs w:val="24"/>
        </w:rPr>
      </w:pPr>
      <w:r w:rsidRPr="00FC3161">
        <w:rPr>
          <w:rFonts w:ascii="Arial" w:hAnsi="Arial" w:cs="Arial"/>
          <w:sz w:val="24"/>
          <w:szCs w:val="24"/>
        </w:rPr>
        <w:t>Procurement are required to ‘consider whether to impose community benefits requirements as part of the procurement’ which has an estimated value of the contract equal to or greater than £4,000,000 over the term of the contract</w:t>
      </w:r>
      <w:r w:rsidR="004E1C05" w:rsidRPr="00FC3161">
        <w:rPr>
          <w:rFonts w:ascii="Arial" w:hAnsi="Arial" w:cs="Arial"/>
          <w:sz w:val="24"/>
          <w:szCs w:val="24"/>
        </w:rPr>
        <w:t>.</w:t>
      </w:r>
      <w:r w:rsidRPr="00FC3161">
        <w:rPr>
          <w:rFonts w:ascii="Arial" w:hAnsi="Arial" w:cs="Arial"/>
          <w:sz w:val="24"/>
          <w:szCs w:val="24"/>
        </w:rPr>
        <w:t xml:space="preserve"> </w:t>
      </w:r>
      <w:r w:rsidRPr="00FC3161">
        <w:rPr>
          <w:rFonts w:ascii="Arial" w:hAnsi="Arial" w:cs="Arial"/>
          <w:i/>
          <w:sz w:val="24"/>
          <w:szCs w:val="24"/>
        </w:rPr>
        <w:t xml:space="preserve"> </w:t>
      </w:r>
    </w:p>
    <w:p w14:paraId="472FB46D" w14:textId="77777777" w:rsidR="00C74952" w:rsidRPr="00FC3161" w:rsidRDefault="00C74952" w:rsidP="00C74952">
      <w:pPr>
        <w:spacing w:after="0" w:line="240" w:lineRule="auto"/>
        <w:jc w:val="both"/>
        <w:rPr>
          <w:rFonts w:ascii="Arial" w:hAnsi="Arial" w:cs="Arial"/>
          <w:i/>
          <w:sz w:val="24"/>
          <w:szCs w:val="24"/>
          <w:highlight w:val="yellow"/>
        </w:rPr>
      </w:pPr>
    </w:p>
    <w:p w14:paraId="0C2984FB" w14:textId="77777777" w:rsidR="00C74952" w:rsidRPr="00FC3161" w:rsidRDefault="00C74952" w:rsidP="00C74952">
      <w:pPr>
        <w:spacing w:after="0" w:line="240" w:lineRule="auto"/>
        <w:jc w:val="both"/>
        <w:rPr>
          <w:rFonts w:ascii="Arial" w:hAnsi="Arial" w:cs="Arial"/>
          <w:sz w:val="24"/>
          <w:szCs w:val="24"/>
          <w:highlight w:val="yellow"/>
        </w:rPr>
      </w:pPr>
      <w:r w:rsidRPr="00FC3161">
        <w:rPr>
          <w:rFonts w:ascii="Arial" w:hAnsi="Arial" w:cs="Arial"/>
          <w:sz w:val="24"/>
          <w:szCs w:val="24"/>
        </w:rPr>
        <w:t>In 2019/20, no regulated procurements equal to or over the £4,000,000 were initiated or awarded, however, availability for sub-contracting opportunities are permanently included in our tenders.</w:t>
      </w:r>
      <w:r w:rsidRPr="00FC3161">
        <w:rPr>
          <w:rFonts w:ascii="Arial" w:hAnsi="Arial" w:cs="Arial"/>
          <w:sz w:val="24"/>
          <w:szCs w:val="24"/>
          <w:highlight w:val="yellow"/>
        </w:rPr>
        <w:t xml:space="preserve"> </w:t>
      </w:r>
    </w:p>
    <w:p w14:paraId="2FDF3A52" w14:textId="77777777" w:rsidR="00C74952" w:rsidRPr="00FC3161" w:rsidRDefault="00C74952" w:rsidP="00C74952">
      <w:pPr>
        <w:spacing w:after="0" w:line="240" w:lineRule="auto"/>
        <w:rPr>
          <w:rFonts w:ascii="Arial" w:hAnsi="Arial" w:cs="Arial"/>
          <w:color w:val="FF0000"/>
          <w:sz w:val="24"/>
          <w:szCs w:val="24"/>
          <w:highlight w:val="yellow"/>
        </w:rPr>
      </w:pPr>
    </w:p>
    <w:p w14:paraId="21CD2AEA" w14:textId="77777777" w:rsidR="00C74952" w:rsidRPr="00FC3161" w:rsidRDefault="00C74952" w:rsidP="00FC3161">
      <w:pPr>
        <w:pStyle w:val="ListParagraph"/>
        <w:numPr>
          <w:ilvl w:val="0"/>
          <w:numId w:val="27"/>
        </w:numPr>
        <w:spacing w:after="0" w:line="240" w:lineRule="auto"/>
        <w:ind w:left="567" w:hanging="567"/>
        <w:jc w:val="both"/>
        <w:rPr>
          <w:rFonts w:ascii="Arial" w:hAnsi="Arial" w:cs="Arial"/>
          <w:b/>
          <w:sz w:val="24"/>
          <w:szCs w:val="24"/>
        </w:rPr>
      </w:pPr>
      <w:r w:rsidRPr="00FC3161">
        <w:rPr>
          <w:rFonts w:ascii="Arial" w:hAnsi="Arial" w:cs="Arial"/>
          <w:b/>
          <w:sz w:val="24"/>
          <w:szCs w:val="24"/>
        </w:rPr>
        <w:t>Small Medium Enterprises (SME)</w:t>
      </w:r>
    </w:p>
    <w:p w14:paraId="56F425A7" w14:textId="77777777" w:rsidR="00C74952" w:rsidRPr="00FC3161" w:rsidRDefault="00C74952" w:rsidP="00C74952">
      <w:pPr>
        <w:spacing w:after="0" w:line="240" w:lineRule="auto"/>
        <w:rPr>
          <w:rFonts w:ascii="Arial" w:hAnsi="Arial" w:cs="Arial"/>
          <w:b/>
          <w:sz w:val="24"/>
          <w:szCs w:val="24"/>
          <w:highlight w:val="yellow"/>
        </w:rPr>
      </w:pPr>
    </w:p>
    <w:p w14:paraId="6F555EEB" w14:textId="77777777" w:rsidR="00C74952" w:rsidRPr="00FC3161" w:rsidRDefault="00C74952" w:rsidP="00C74952">
      <w:pPr>
        <w:spacing w:after="0" w:line="240" w:lineRule="auto"/>
        <w:jc w:val="both"/>
        <w:rPr>
          <w:rFonts w:ascii="Arial" w:hAnsi="Arial" w:cs="Arial"/>
          <w:sz w:val="24"/>
          <w:szCs w:val="24"/>
        </w:rPr>
      </w:pPr>
      <w:r w:rsidRPr="00FC3161">
        <w:rPr>
          <w:rFonts w:ascii="Arial" w:hAnsi="Arial" w:cs="Arial"/>
          <w:sz w:val="24"/>
          <w:szCs w:val="24"/>
        </w:rPr>
        <w:t xml:space="preserve">As part of the public sector, SEPA acknowledges it has a role in contributing to Scotland’s economic success. In an effort to encourage SME suppliers, we advertise through Public Contracts Scotland and our </w:t>
      </w:r>
      <w:hyperlink r:id="rId17" w:history="1">
        <w:r w:rsidRPr="00FC3161">
          <w:rPr>
            <w:rStyle w:val="Hyperlink"/>
            <w:rFonts w:ascii="Arial" w:hAnsi="Arial" w:cs="Arial"/>
            <w:color w:val="auto"/>
            <w:sz w:val="24"/>
            <w:szCs w:val="24"/>
          </w:rPr>
          <w:t>Buyer Profile</w:t>
        </w:r>
      </w:hyperlink>
      <w:r w:rsidRPr="00FC3161">
        <w:rPr>
          <w:rFonts w:ascii="Arial" w:hAnsi="Arial" w:cs="Arial"/>
          <w:sz w:val="24"/>
          <w:szCs w:val="24"/>
        </w:rPr>
        <w:t xml:space="preserve"> portal. </w:t>
      </w:r>
    </w:p>
    <w:p w14:paraId="392742C0" w14:textId="77777777" w:rsidR="00C74952" w:rsidRPr="00FC3161" w:rsidRDefault="00C74952" w:rsidP="00C74952">
      <w:pPr>
        <w:shd w:val="clear" w:color="auto" w:fill="FFFFFF"/>
        <w:spacing w:before="100" w:beforeAutospacing="1" w:after="240" w:line="240" w:lineRule="auto"/>
        <w:jc w:val="both"/>
        <w:rPr>
          <w:rFonts w:ascii="Arial" w:eastAsia="Times New Roman" w:hAnsi="Arial" w:cs="Arial"/>
          <w:color w:val="000000"/>
          <w:sz w:val="24"/>
          <w:szCs w:val="24"/>
          <w:lang w:eastAsia="en-GB"/>
        </w:rPr>
      </w:pPr>
      <w:r w:rsidRPr="00FC3161">
        <w:rPr>
          <w:rFonts w:ascii="Arial" w:eastAsia="Times New Roman" w:hAnsi="Arial" w:cs="Arial"/>
          <w:color w:val="000000"/>
          <w:sz w:val="24"/>
          <w:szCs w:val="24"/>
          <w:lang w:eastAsia="en-GB"/>
        </w:rPr>
        <w:t>The Procurement Team have used the following opportunities to engage with potential suppliers:</w:t>
      </w:r>
    </w:p>
    <w:p w14:paraId="32389073" w14:textId="2DE69B2D" w:rsidR="00C74952" w:rsidRPr="00FC3161" w:rsidRDefault="004E1C05" w:rsidP="00914B30">
      <w:pPr>
        <w:pStyle w:val="ListParagraph"/>
        <w:numPr>
          <w:ilvl w:val="0"/>
          <w:numId w:val="43"/>
        </w:numPr>
        <w:ind w:left="1134" w:hanging="414"/>
        <w:rPr>
          <w:rFonts w:ascii="Arial" w:eastAsia="Times New Roman" w:hAnsi="Arial" w:cs="Arial"/>
          <w:color w:val="000000"/>
          <w:sz w:val="24"/>
          <w:szCs w:val="24"/>
          <w:lang w:eastAsia="en-GB"/>
        </w:rPr>
      </w:pPr>
      <w:r w:rsidRPr="00FC3161">
        <w:rPr>
          <w:rFonts w:ascii="Arial" w:eastAsia="Times New Roman" w:hAnsi="Arial" w:cs="Arial"/>
          <w:color w:val="000000"/>
          <w:sz w:val="24"/>
          <w:szCs w:val="24"/>
          <w:lang w:eastAsia="en-GB"/>
        </w:rPr>
        <w:t xml:space="preserve">Supplier Development </w:t>
      </w:r>
      <w:r w:rsidR="00C74952" w:rsidRPr="00FC3161">
        <w:rPr>
          <w:rFonts w:ascii="Arial" w:eastAsia="Times New Roman" w:hAnsi="Arial" w:cs="Arial"/>
          <w:color w:val="000000"/>
          <w:sz w:val="24"/>
          <w:szCs w:val="24"/>
          <w:lang w:eastAsia="en-GB"/>
        </w:rPr>
        <w:t>P</w:t>
      </w:r>
      <w:r w:rsidRPr="00FC3161">
        <w:rPr>
          <w:rFonts w:ascii="Arial" w:eastAsia="Times New Roman" w:hAnsi="Arial" w:cs="Arial"/>
          <w:color w:val="000000"/>
          <w:sz w:val="24"/>
          <w:szCs w:val="24"/>
          <w:lang w:eastAsia="en-GB"/>
        </w:rPr>
        <w:t>rogramme</w:t>
      </w:r>
      <w:r w:rsidR="00C74952" w:rsidRPr="00FC3161">
        <w:rPr>
          <w:rFonts w:ascii="Arial" w:eastAsia="Times New Roman" w:hAnsi="Arial" w:cs="Arial"/>
          <w:color w:val="000000"/>
          <w:sz w:val="24"/>
          <w:szCs w:val="24"/>
          <w:lang w:eastAsia="en-GB"/>
        </w:rPr>
        <w:t xml:space="preserve"> Membership – This will offer SEPA capacity to engage with suppliers across Scotland in key sectors including construction. </w:t>
      </w:r>
    </w:p>
    <w:p w14:paraId="3F0A574E" w14:textId="045B3BC8" w:rsidR="00C74952" w:rsidRPr="00FC3161" w:rsidRDefault="00C74952" w:rsidP="00914B30">
      <w:pPr>
        <w:pStyle w:val="ListParagraph"/>
        <w:numPr>
          <w:ilvl w:val="0"/>
          <w:numId w:val="43"/>
        </w:numPr>
        <w:ind w:left="1134" w:hanging="414"/>
        <w:rPr>
          <w:rFonts w:ascii="Arial" w:eastAsia="Times New Roman" w:hAnsi="Arial" w:cs="Arial"/>
          <w:color w:val="000000"/>
          <w:sz w:val="24"/>
          <w:szCs w:val="24"/>
          <w:lang w:eastAsia="en-GB"/>
        </w:rPr>
      </w:pPr>
      <w:r w:rsidRPr="00FC3161">
        <w:rPr>
          <w:rFonts w:ascii="Arial" w:eastAsia="Times New Roman" w:hAnsi="Arial" w:cs="Arial"/>
          <w:color w:val="000000"/>
          <w:sz w:val="24"/>
          <w:szCs w:val="24"/>
          <w:lang w:eastAsia="en-GB"/>
        </w:rPr>
        <w:t>S</w:t>
      </w:r>
      <w:r w:rsidR="004E1C05" w:rsidRPr="00FC3161">
        <w:rPr>
          <w:rFonts w:ascii="Arial" w:eastAsia="Times New Roman" w:hAnsi="Arial" w:cs="Arial"/>
          <w:color w:val="000000"/>
          <w:sz w:val="24"/>
          <w:szCs w:val="24"/>
          <w:lang w:eastAsia="en-GB"/>
        </w:rPr>
        <w:t xml:space="preserve">upplier </w:t>
      </w:r>
      <w:r w:rsidRPr="00FC3161">
        <w:rPr>
          <w:rFonts w:ascii="Arial" w:eastAsia="Times New Roman" w:hAnsi="Arial" w:cs="Arial"/>
          <w:color w:val="000000"/>
          <w:sz w:val="24"/>
          <w:szCs w:val="24"/>
          <w:lang w:eastAsia="en-GB"/>
        </w:rPr>
        <w:t>D</w:t>
      </w:r>
      <w:r w:rsidR="004E1C05" w:rsidRPr="00FC3161">
        <w:rPr>
          <w:rFonts w:ascii="Arial" w:eastAsia="Times New Roman" w:hAnsi="Arial" w:cs="Arial"/>
          <w:color w:val="000000"/>
          <w:sz w:val="24"/>
          <w:szCs w:val="24"/>
          <w:lang w:eastAsia="en-GB"/>
        </w:rPr>
        <w:t xml:space="preserve">evelopment </w:t>
      </w:r>
      <w:r w:rsidRPr="00FC3161">
        <w:rPr>
          <w:rFonts w:ascii="Arial" w:eastAsia="Times New Roman" w:hAnsi="Arial" w:cs="Arial"/>
          <w:color w:val="000000"/>
          <w:sz w:val="24"/>
          <w:szCs w:val="24"/>
          <w:lang w:eastAsia="en-GB"/>
        </w:rPr>
        <w:t>P</w:t>
      </w:r>
      <w:r w:rsidR="004E1C05" w:rsidRPr="00FC3161">
        <w:rPr>
          <w:rFonts w:ascii="Arial" w:eastAsia="Times New Roman" w:hAnsi="Arial" w:cs="Arial"/>
          <w:color w:val="000000"/>
          <w:sz w:val="24"/>
          <w:szCs w:val="24"/>
          <w:lang w:eastAsia="en-GB"/>
        </w:rPr>
        <w:t>rogramme Meet the B</w:t>
      </w:r>
      <w:r w:rsidRPr="00FC3161">
        <w:rPr>
          <w:rFonts w:ascii="Arial" w:eastAsia="Times New Roman" w:hAnsi="Arial" w:cs="Arial"/>
          <w:color w:val="000000"/>
          <w:sz w:val="24"/>
          <w:szCs w:val="24"/>
          <w:lang w:eastAsia="en-GB"/>
        </w:rPr>
        <w:t xml:space="preserve">uyer – In November 2019 SEPA had a stand at this event offering potential suppliers the opportunity to speak about contract opportunities. </w:t>
      </w:r>
    </w:p>
    <w:p w14:paraId="225CFAD0" w14:textId="2D22C312" w:rsidR="00C74952" w:rsidRPr="00FC3161" w:rsidRDefault="00C74952" w:rsidP="00914B30">
      <w:pPr>
        <w:pStyle w:val="ListParagraph"/>
        <w:numPr>
          <w:ilvl w:val="0"/>
          <w:numId w:val="43"/>
        </w:numPr>
        <w:ind w:left="1134" w:hanging="414"/>
        <w:rPr>
          <w:rFonts w:ascii="Arial" w:eastAsia="Times New Roman" w:hAnsi="Arial" w:cs="Arial"/>
          <w:color w:val="000000"/>
          <w:sz w:val="24"/>
          <w:szCs w:val="24"/>
          <w:lang w:eastAsia="en-GB"/>
        </w:rPr>
      </w:pPr>
      <w:r w:rsidRPr="00FC3161">
        <w:rPr>
          <w:rFonts w:ascii="Arial" w:eastAsia="Times New Roman" w:hAnsi="Arial" w:cs="Arial"/>
          <w:color w:val="000000"/>
          <w:sz w:val="24"/>
          <w:szCs w:val="24"/>
          <w:lang w:eastAsia="en-GB"/>
        </w:rPr>
        <w:t xml:space="preserve">Soft market tests and wider market engagement – Prior Information Notices (PINs) have been used to assess the state of markets and inform specifications prior to procurement exercises. </w:t>
      </w:r>
    </w:p>
    <w:p w14:paraId="640ED0F5" w14:textId="77777777" w:rsidR="00C74952" w:rsidRPr="00070B35" w:rsidRDefault="00C74952" w:rsidP="00C74952">
      <w:pPr>
        <w:spacing w:after="0" w:line="240" w:lineRule="auto"/>
        <w:jc w:val="both"/>
        <w:rPr>
          <w:rFonts w:ascii="Arial" w:hAnsi="Arial" w:cs="Arial"/>
          <w:color w:val="FF0000"/>
          <w:highlight w:val="yellow"/>
        </w:rPr>
      </w:pPr>
    </w:p>
    <w:p w14:paraId="27732737" w14:textId="77777777" w:rsidR="00C74952" w:rsidRPr="0044785F" w:rsidRDefault="00C74952" w:rsidP="00FC3161">
      <w:pPr>
        <w:pStyle w:val="ListParagraph"/>
        <w:numPr>
          <w:ilvl w:val="0"/>
          <w:numId w:val="24"/>
        </w:numPr>
        <w:spacing w:after="0" w:line="240" w:lineRule="auto"/>
        <w:ind w:left="426" w:hanging="142"/>
        <w:rPr>
          <w:rFonts w:ascii="Arial" w:hAnsi="Arial" w:cs="Arial"/>
          <w:b/>
          <w:color w:val="215868" w:themeColor="accent5" w:themeShade="80"/>
          <w:sz w:val="32"/>
          <w:szCs w:val="32"/>
        </w:rPr>
      </w:pPr>
      <w:r w:rsidRPr="0044785F">
        <w:rPr>
          <w:rFonts w:ascii="Arial" w:hAnsi="Arial" w:cs="Arial"/>
          <w:b/>
          <w:color w:val="215868" w:themeColor="accent5" w:themeShade="80"/>
          <w:sz w:val="32"/>
          <w:szCs w:val="32"/>
        </w:rPr>
        <w:t>Contract register</w:t>
      </w:r>
    </w:p>
    <w:p w14:paraId="07B42527" w14:textId="77777777" w:rsidR="00C74952" w:rsidRPr="006B1B63" w:rsidRDefault="00C74952" w:rsidP="00C74952">
      <w:pPr>
        <w:spacing w:after="0" w:line="240" w:lineRule="auto"/>
        <w:rPr>
          <w:rFonts w:ascii="Arial" w:hAnsi="Arial" w:cs="Arial"/>
          <w:highlight w:val="yellow"/>
        </w:rPr>
      </w:pPr>
    </w:p>
    <w:p w14:paraId="2501F72D" w14:textId="77777777" w:rsidR="00C74952" w:rsidRPr="00FC3161" w:rsidRDefault="00C74952" w:rsidP="00C74952">
      <w:pPr>
        <w:spacing w:after="0" w:line="240" w:lineRule="auto"/>
        <w:jc w:val="both"/>
        <w:rPr>
          <w:rFonts w:ascii="Arial" w:hAnsi="Arial" w:cs="Arial"/>
          <w:sz w:val="24"/>
          <w:szCs w:val="24"/>
        </w:rPr>
      </w:pPr>
      <w:r w:rsidRPr="00FC3161">
        <w:rPr>
          <w:rFonts w:ascii="Arial" w:hAnsi="Arial" w:cs="Arial"/>
          <w:sz w:val="24"/>
          <w:szCs w:val="24"/>
        </w:rPr>
        <w:t xml:space="preserve">The Public Reform (Scotland) Act 2014 requires a register of current contracts to be published on the Internet. </w:t>
      </w:r>
    </w:p>
    <w:p w14:paraId="5774410E" w14:textId="77777777" w:rsidR="00C74952" w:rsidRPr="00FC3161" w:rsidRDefault="00C74952" w:rsidP="00C74952">
      <w:pPr>
        <w:spacing w:after="0" w:line="240" w:lineRule="auto"/>
        <w:rPr>
          <w:rFonts w:ascii="Arial" w:hAnsi="Arial" w:cs="Arial"/>
          <w:sz w:val="24"/>
          <w:szCs w:val="24"/>
        </w:rPr>
      </w:pPr>
      <w:r w:rsidRPr="00FC3161">
        <w:rPr>
          <w:rFonts w:ascii="Arial" w:hAnsi="Arial" w:cs="Arial"/>
          <w:sz w:val="24"/>
          <w:szCs w:val="24"/>
        </w:rPr>
        <w:t>SEPA’s contract register  is accessible on our website:</w:t>
      </w:r>
      <w:r w:rsidRPr="00FC3161">
        <w:rPr>
          <w:sz w:val="24"/>
          <w:szCs w:val="24"/>
        </w:rPr>
        <w:t xml:space="preserve">  </w:t>
      </w:r>
      <w:r w:rsidRPr="00FC3161">
        <w:rPr>
          <w:rFonts w:ascii="Arial" w:hAnsi="Arial" w:cs="Arial"/>
          <w:sz w:val="24"/>
          <w:szCs w:val="24"/>
        </w:rPr>
        <w:t>https://www.sepa.org.uk/media/219435/contract-register.pdf.</w:t>
      </w:r>
      <w:r w:rsidRPr="00FC3161">
        <w:rPr>
          <w:rFonts w:ascii="Arial" w:hAnsi="Arial" w:cs="Arial"/>
          <w:sz w:val="24"/>
          <w:szCs w:val="24"/>
        </w:rPr>
        <w:br w:type="page"/>
      </w:r>
    </w:p>
    <w:p w14:paraId="21F08969" w14:textId="77777777" w:rsidR="00C74952" w:rsidRPr="00FC3161" w:rsidRDefault="00C74952" w:rsidP="00FC3161">
      <w:pPr>
        <w:pStyle w:val="ListParagraph"/>
        <w:numPr>
          <w:ilvl w:val="0"/>
          <w:numId w:val="28"/>
        </w:numPr>
        <w:spacing w:after="0" w:line="240" w:lineRule="auto"/>
        <w:ind w:left="567" w:hanging="567"/>
        <w:rPr>
          <w:rFonts w:ascii="Arial" w:hAnsi="Arial" w:cs="Arial"/>
          <w:b/>
          <w:sz w:val="24"/>
          <w:szCs w:val="24"/>
        </w:rPr>
      </w:pPr>
      <w:r w:rsidRPr="00FC3161">
        <w:rPr>
          <w:rFonts w:ascii="Arial" w:hAnsi="Arial" w:cs="Arial"/>
          <w:b/>
          <w:sz w:val="24"/>
          <w:szCs w:val="24"/>
        </w:rPr>
        <w:lastRenderedPageBreak/>
        <w:t>Regulated contracts forward plan</w:t>
      </w:r>
    </w:p>
    <w:p w14:paraId="23D43406" w14:textId="77777777" w:rsidR="00C74952" w:rsidRPr="00070B35" w:rsidRDefault="00C74952" w:rsidP="00C74952">
      <w:pPr>
        <w:spacing w:after="0" w:line="240" w:lineRule="auto"/>
        <w:rPr>
          <w:rFonts w:ascii="Arial" w:hAnsi="Arial" w:cs="Arial"/>
          <w:b/>
          <w:color w:val="FF0000"/>
          <w:highlight w:val="yellow"/>
        </w:rPr>
      </w:pPr>
    </w:p>
    <w:tbl>
      <w:tblPr>
        <w:tblStyle w:val="TableGrid1"/>
        <w:tblW w:w="10377" w:type="dxa"/>
        <w:tblInd w:w="108" w:type="dxa"/>
        <w:tblLayout w:type="fixed"/>
        <w:tblLook w:val="04A0" w:firstRow="1" w:lastRow="0" w:firstColumn="1" w:lastColumn="0" w:noHBand="0" w:noVBand="1"/>
      </w:tblPr>
      <w:tblGrid>
        <w:gridCol w:w="6550"/>
        <w:gridCol w:w="1417"/>
        <w:gridCol w:w="2410"/>
      </w:tblGrid>
      <w:tr w:rsidR="00C74952" w:rsidRPr="00FC3161" w14:paraId="0DB8F197" w14:textId="77777777" w:rsidTr="00FC3161">
        <w:tc>
          <w:tcPr>
            <w:tcW w:w="10377" w:type="dxa"/>
            <w:gridSpan w:val="3"/>
            <w:shd w:val="pct15" w:color="auto" w:fill="auto"/>
            <w:vAlign w:val="center"/>
          </w:tcPr>
          <w:p w14:paraId="1EDC8A78" w14:textId="77777777" w:rsidR="00C74952" w:rsidRPr="00FC3161" w:rsidRDefault="00C74952" w:rsidP="002F24A3">
            <w:pPr>
              <w:spacing w:after="100" w:line="240" w:lineRule="auto"/>
              <w:rPr>
                <w:rFonts w:ascii="Arial" w:eastAsia="Times New Roman" w:hAnsi="Arial" w:cs="Arial"/>
                <w:b/>
                <w:sz w:val="24"/>
                <w:szCs w:val="24"/>
              </w:rPr>
            </w:pPr>
            <w:r w:rsidRPr="00FC3161">
              <w:rPr>
                <w:rFonts w:ascii="Arial" w:hAnsi="Arial" w:cs="Arial"/>
                <w:b/>
                <w:sz w:val="24"/>
                <w:szCs w:val="24"/>
              </w:rPr>
              <w:t>Summary of contracts to commence in next 2 years, with a value greater than £50,000</w:t>
            </w:r>
          </w:p>
        </w:tc>
      </w:tr>
      <w:tr w:rsidR="00C74952" w:rsidRPr="00FC3161" w14:paraId="48425A89" w14:textId="77777777" w:rsidTr="00FC3161">
        <w:tc>
          <w:tcPr>
            <w:tcW w:w="6550" w:type="dxa"/>
            <w:shd w:val="pct15" w:color="auto" w:fill="auto"/>
            <w:vAlign w:val="center"/>
          </w:tcPr>
          <w:p w14:paraId="0B18F916" w14:textId="77777777" w:rsidR="00C74952" w:rsidRPr="00FC3161" w:rsidRDefault="00C74952" w:rsidP="002F24A3">
            <w:pPr>
              <w:overflowPunct w:val="0"/>
              <w:autoSpaceDE w:val="0"/>
              <w:autoSpaceDN w:val="0"/>
              <w:adjustRightInd w:val="0"/>
              <w:spacing w:after="100" w:line="240" w:lineRule="auto"/>
              <w:textAlignment w:val="baseline"/>
              <w:rPr>
                <w:rFonts w:ascii="Arial" w:eastAsia="Times New Roman" w:hAnsi="Arial" w:cs="Arial"/>
                <w:b/>
                <w:sz w:val="24"/>
                <w:szCs w:val="24"/>
              </w:rPr>
            </w:pPr>
            <w:r w:rsidRPr="00FC3161">
              <w:rPr>
                <w:rFonts w:ascii="Arial" w:eastAsia="Times New Roman" w:hAnsi="Arial" w:cs="Arial"/>
                <w:b/>
                <w:sz w:val="24"/>
                <w:szCs w:val="24"/>
              </w:rPr>
              <w:t>Contract</w:t>
            </w:r>
          </w:p>
        </w:tc>
        <w:tc>
          <w:tcPr>
            <w:tcW w:w="1417" w:type="dxa"/>
            <w:shd w:val="pct15" w:color="auto" w:fill="auto"/>
            <w:vAlign w:val="center"/>
          </w:tcPr>
          <w:p w14:paraId="5818828E" w14:textId="77777777" w:rsidR="00C74952" w:rsidRPr="00FC3161" w:rsidRDefault="00C74952" w:rsidP="002F24A3">
            <w:pPr>
              <w:overflowPunct w:val="0"/>
              <w:autoSpaceDE w:val="0"/>
              <w:autoSpaceDN w:val="0"/>
              <w:adjustRightInd w:val="0"/>
              <w:spacing w:after="100" w:line="240" w:lineRule="auto"/>
              <w:jc w:val="center"/>
              <w:textAlignment w:val="baseline"/>
              <w:rPr>
                <w:rFonts w:ascii="Arial" w:eastAsia="Times New Roman" w:hAnsi="Arial" w:cs="Arial"/>
                <w:b/>
                <w:sz w:val="24"/>
                <w:szCs w:val="24"/>
              </w:rPr>
            </w:pPr>
            <w:r w:rsidRPr="00FC3161">
              <w:rPr>
                <w:rFonts w:ascii="Arial" w:eastAsia="Times New Roman" w:hAnsi="Arial" w:cs="Arial"/>
                <w:b/>
                <w:sz w:val="24"/>
                <w:szCs w:val="24"/>
              </w:rPr>
              <w:t>Value</w:t>
            </w:r>
          </w:p>
        </w:tc>
        <w:tc>
          <w:tcPr>
            <w:tcW w:w="2410" w:type="dxa"/>
            <w:shd w:val="pct15" w:color="auto" w:fill="auto"/>
            <w:vAlign w:val="center"/>
          </w:tcPr>
          <w:p w14:paraId="3F5558F4" w14:textId="77777777" w:rsidR="00C74952" w:rsidRPr="00FC3161" w:rsidRDefault="00C74952" w:rsidP="002F24A3">
            <w:pPr>
              <w:overflowPunct w:val="0"/>
              <w:autoSpaceDE w:val="0"/>
              <w:autoSpaceDN w:val="0"/>
              <w:adjustRightInd w:val="0"/>
              <w:spacing w:after="100" w:line="240" w:lineRule="auto"/>
              <w:textAlignment w:val="baseline"/>
              <w:rPr>
                <w:rFonts w:ascii="Arial" w:eastAsia="Times New Roman" w:hAnsi="Arial" w:cs="Arial"/>
                <w:b/>
                <w:sz w:val="24"/>
                <w:szCs w:val="24"/>
              </w:rPr>
            </w:pPr>
            <w:r w:rsidRPr="00FC3161">
              <w:rPr>
                <w:rFonts w:ascii="Arial" w:eastAsia="Times New Roman" w:hAnsi="Arial" w:cs="Arial"/>
                <w:b/>
                <w:sz w:val="24"/>
                <w:szCs w:val="24"/>
              </w:rPr>
              <w:t>Planned contract start date</w:t>
            </w:r>
          </w:p>
        </w:tc>
      </w:tr>
      <w:tr w:rsidR="00C74952" w:rsidRPr="00FC3161" w14:paraId="2A6D0501" w14:textId="77777777" w:rsidTr="00FC3161">
        <w:tc>
          <w:tcPr>
            <w:tcW w:w="6550" w:type="dxa"/>
          </w:tcPr>
          <w:p w14:paraId="34982811" w14:textId="77777777" w:rsidR="00C74952" w:rsidRPr="00FC3161" w:rsidRDefault="00C74952" w:rsidP="002F24A3">
            <w:pPr>
              <w:overflowPunct w:val="0"/>
              <w:autoSpaceDE w:val="0"/>
              <w:autoSpaceDN w:val="0"/>
              <w:adjustRightInd w:val="0"/>
              <w:spacing w:after="100" w:line="240" w:lineRule="auto"/>
              <w:textAlignment w:val="baseline"/>
              <w:rPr>
                <w:rFonts w:ascii="Arial" w:eastAsia="Times New Roman" w:hAnsi="Arial" w:cs="Arial"/>
                <w:sz w:val="24"/>
                <w:szCs w:val="24"/>
              </w:rPr>
            </w:pPr>
            <w:r w:rsidRPr="00FC3161">
              <w:rPr>
                <w:rFonts w:ascii="Arial" w:eastAsia="Times New Roman" w:hAnsi="Arial" w:cs="Arial"/>
                <w:sz w:val="24"/>
                <w:szCs w:val="24"/>
              </w:rPr>
              <w:t>Ad-Hoc Environmental Radioactivity Monitoring</w:t>
            </w:r>
          </w:p>
        </w:tc>
        <w:tc>
          <w:tcPr>
            <w:tcW w:w="1417" w:type="dxa"/>
          </w:tcPr>
          <w:p w14:paraId="4C45D60A" w14:textId="77777777" w:rsidR="00C74952" w:rsidRPr="00FC3161" w:rsidRDefault="00C74952" w:rsidP="002F24A3">
            <w:pPr>
              <w:overflowPunct w:val="0"/>
              <w:autoSpaceDE w:val="0"/>
              <w:autoSpaceDN w:val="0"/>
              <w:adjustRightInd w:val="0"/>
              <w:spacing w:after="100" w:line="240" w:lineRule="auto"/>
              <w:jc w:val="center"/>
              <w:textAlignment w:val="baseline"/>
              <w:rPr>
                <w:rFonts w:ascii="Arial" w:eastAsia="Times New Roman" w:hAnsi="Arial" w:cs="Arial"/>
                <w:sz w:val="24"/>
                <w:szCs w:val="24"/>
              </w:rPr>
            </w:pPr>
            <w:r w:rsidRPr="00FC3161">
              <w:rPr>
                <w:rFonts w:ascii="Arial" w:eastAsia="Times New Roman" w:hAnsi="Arial" w:cs="Arial"/>
                <w:sz w:val="24"/>
                <w:szCs w:val="24"/>
              </w:rPr>
              <w:t>£180k</w:t>
            </w:r>
          </w:p>
        </w:tc>
        <w:tc>
          <w:tcPr>
            <w:tcW w:w="2410" w:type="dxa"/>
          </w:tcPr>
          <w:p w14:paraId="2E310A83" w14:textId="77777777" w:rsidR="00C74952" w:rsidRPr="00FC3161" w:rsidRDefault="00C74952" w:rsidP="002F24A3">
            <w:pPr>
              <w:overflowPunct w:val="0"/>
              <w:autoSpaceDE w:val="0"/>
              <w:autoSpaceDN w:val="0"/>
              <w:adjustRightInd w:val="0"/>
              <w:spacing w:after="100" w:line="240" w:lineRule="auto"/>
              <w:textAlignment w:val="baseline"/>
              <w:rPr>
                <w:rFonts w:ascii="Arial" w:eastAsia="Times New Roman" w:hAnsi="Arial" w:cs="Arial"/>
                <w:sz w:val="24"/>
                <w:szCs w:val="24"/>
              </w:rPr>
            </w:pPr>
            <w:r w:rsidRPr="00FC3161">
              <w:rPr>
                <w:rFonts w:ascii="Arial" w:eastAsia="Times New Roman" w:hAnsi="Arial" w:cs="Arial"/>
                <w:sz w:val="24"/>
                <w:szCs w:val="24"/>
              </w:rPr>
              <w:t>Nov 2020</w:t>
            </w:r>
          </w:p>
        </w:tc>
      </w:tr>
      <w:tr w:rsidR="00C74952" w:rsidRPr="00FC3161" w14:paraId="6E2E5535" w14:textId="77777777" w:rsidTr="00FC3161">
        <w:tc>
          <w:tcPr>
            <w:tcW w:w="6550" w:type="dxa"/>
          </w:tcPr>
          <w:p w14:paraId="3365C0CB" w14:textId="77777777" w:rsidR="00C74952" w:rsidRPr="00FC3161" w:rsidRDefault="00C74952" w:rsidP="002F24A3">
            <w:pPr>
              <w:overflowPunct w:val="0"/>
              <w:autoSpaceDE w:val="0"/>
              <w:autoSpaceDN w:val="0"/>
              <w:adjustRightInd w:val="0"/>
              <w:spacing w:after="100" w:line="240" w:lineRule="auto"/>
              <w:textAlignment w:val="baseline"/>
              <w:rPr>
                <w:rFonts w:ascii="Arial" w:eastAsia="Times New Roman" w:hAnsi="Arial" w:cs="Arial"/>
                <w:sz w:val="24"/>
                <w:szCs w:val="24"/>
              </w:rPr>
            </w:pPr>
            <w:r w:rsidRPr="00FC3161">
              <w:rPr>
                <w:rFonts w:ascii="Arial" w:eastAsia="Times New Roman" w:hAnsi="Arial" w:cs="Arial"/>
                <w:sz w:val="24"/>
                <w:szCs w:val="24"/>
              </w:rPr>
              <w:t>Job Evaluation Scheme</w:t>
            </w:r>
          </w:p>
        </w:tc>
        <w:tc>
          <w:tcPr>
            <w:tcW w:w="1417" w:type="dxa"/>
            <w:shd w:val="clear" w:color="auto" w:fill="auto"/>
          </w:tcPr>
          <w:p w14:paraId="61A205E2" w14:textId="77777777" w:rsidR="00C74952" w:rsidRPr="00FC3161" w:rsidRDefault="00C74952" w:rsidP="002F24A3">
            <w:pPr>
              <w:overflowPunct w:val="0"/>
              <w:autoSpaceDE w:val="0"/>
              <w:autoSpaceDN w:val="0"/>
              <w:adjustRightInd w:val="0"/>
              <w:spacing w:after="100" w:line="240" w:lineRule="auto"/>
              <w:jc w:val="center"/>
              <w:textAlignment w:val="baseline"/>
              <w:rPr>
                <w:rFonts w:ascii="Arial" w:eastAsia="Times New Roman" w:hAnsi="Arial" w:cs="Arial"/>
                <w:sz w:val="24"/>
                <w:szCs w:val="24"/>
              </w:rPr>
            </w:pPr>
            <w:r w:rsidRPr="00FC3161">
              <w:rPr>
                <w:rFonts w:ascii="Arial" w:eastAsia="Times New Roman" w:hAnsi="Arial" w:cs="Arial"/>
                <w:sz w:val="24"/>
                <w:szCs w:val="24"/>
              </w:rPr>
              <w:t>~£310k</w:t>
            </w:r>
          </w:p>
        </w:tc>
        <w:tc>
          <w:tcPr>
            <w:tcW w:w="2410" w:type="dxa"/>
          </w:tcPr>
          <w:p w14:paraId="1FC89CA6" w14:textId="77777777" w:rsidR="00C74952" w:rsidRPr="00FC3161" w:rsidRDefault="00C74952" w:rsidP="002F24A3">
            <w:pPr>
              <w:overflowPunct w:val="0"/>
              <w:autoSpaceDE w:val="0"/>
              <w:autoSpaceDN w:val="0"/>
              <w:adjustRightInd w:val="0"/>
              <w:spacing w:after="100" w:line="240" w:lineRule="auto"/>
              <w:textAlignment w:val="baseline"/>
              <w:rPr>
                <w:rFonts w:ascii="Arial" w:eastAsia="Times New Roman" w:hAnsi="Arial" w:cs="Arial"/>
                <w:sz w:val="24"/>
                <w:szCs w:val="24"/>
              </w:rPr>
            </w:pPr>
            <w:r w:rsidRPr="00FC3161">
              <w:rPr>
                <w:rFonts w:ascii="Arial" w:eastAsia="Times New Roman" w:hAnsi="Arial" w:cs="Arial"/>
                <w:sz w:val="24"/>
                <w:szCs w:val="24"/>
              </w:rPr>
              <w:t>Dec 2020</w:t>
            </w:r>
          </w:p>
        </w:tc>
      </w:tr>
      <w:tr w:rsidR="00C74952" w:rsidRPr="00FC3161" w14:paraId="34708B84" w14:textId="77777777" w:rsidTr="00FC3161">
        <w:tc>
          <w:tcPr>
            <w:tcW w:w="6550" w:type="dxa"/>
            <w:vAlign w:val="center"/>
          </w:tcPr>
          <w:p w14:paraId="0287C858" w14:textId="77777777" w:rsidR="00C74952" w:rsidRPr="00FC3161" w:rsidRDefault="00C74952" w:rsidP="002F24A3">
            <w:pPr>
              <w:overflowPunct w:val="0"/>
              <w:autoSpaceDE w:val="0"/>
              <w:autoSpaceDN w:val="0"/>
              <w:adjustRightInd w:val="0"/>
              <w:spacing w:after="100" w:line="240" w:lineRule="auto"/>
              <w:textAlignment w:val="baseline"/>
              <w:rPr>
                <w:rFonts w:ascii="Arial" w:eastAsia="Times New Roman" w:hAnsi="Arial" w:cs="Arial"/>
                <w:sz w:val="24"/>
                <w:szCs w:val="24"/>
              </w:rPr>
            </w:pPr>
            <w:r w:rsidRPr="00FC3161">
              <w:rPr>
                <w:rFonts w:ascii="Arial" w:eastAsia="Times New Roman" w:hAnsi="Arial" w:cs="Arial"/>
                <w:sz w:val="24"/>
                <w:szCs w:val="24"/>
              </w:rPr>
              <w:t xml:space="preserve">Winch and Electronic Travellers Framework </w:t>
            </w:r>
          </w:p>
        </w:tc>
        <w:tc>
          <w:tcPr>
            <w:tcW w:w="1417" w:type="dxa"/>
          </w:tcPr>
          <w:p w14:paraId="2E1D95A3" w14:textId="77777777" w:rsidR="00C74952" w:rsidRPr="00FC3161" w:rsidRDefault="00C74952" w:rsidP="002F24A3">
            <w:pPr>
              <w:overflowPunct w:val="0"/>
              <w:autoSpaceDE w:val="0"/>
              <w:autoSpaceDN w:val="0"/>
              <w:adjustRightInd w:val="0"/>
              <w:spacing w:after="100" w:line="240" w:lineRule="auto"/>
              <w:jc w:val="center"/>
              <w:textAlignment w:val="baseline"/>
              <w:rPr>
                <w:rFonts w:ascii="Arial" w:eastAsia="Times New Roman" w:hAnsi="Arial" w:cs="Arial"/>
                <w:sz w:val="24"/>
                <w:szCs w:val="24"/>
              </w:rPr>
            </w:pPr>
            <w:r w:rsidRPr="00FC3161">
              <w:rPr>
                <w:rFonts w:ascii="Arial" w:eastAsia="Times New Roman" w:hAnsi="Arial" w:cs="Arial"/>
                <w:sz w:val="24"/>
                <w:szCs w:val="24"/>
              </w:rPr>
              <w:t>£520k</w:t>
            </w:r>
          </w:p>
        </w:tc>
        <w:tc>
          <w:tcPr>
            <w:tcW w:w="2410" w:type="dxa"/>
            <w:vAlign w:val="center"/>
          </w:tcPr>
          <w:p w14:paraId="40025480" w14:textId="77777777" w:rsidR="00C74952" w:rsidRPr="00FC3161" w:rsidRDefault="00C74952" w:rsidP="002F24A3">
            <w:pPr>
              <w:overflowPunct w:val="0"/>
              <w:autoSpaceDE w:val="0"/>
              <w:autoSpaceDN w:val="0"/>
              <w:adjustRightInd w:val="0"/>
              <w:spacing w:after="100" w:line="240" w:lineRule="auto"/>
              <w:textAlignment w:val="baseline"/>
              <w:rPr>
                <w:rFonts w:ascii="Arial" w:eastAsia="Times New Roman" w:hAnsi="Arial" w:cs="Arial"/>
                <w:sz w:val="24"/>
                <w:szCs w:val="24"/>
              </w:rPr>
            </w:pPr>
            <w:r w:rsidRPr="00FC3161">
              <w:rPr>
                <w:rFonts w:ascii="Arial" w:eastAsia="Times New Roman" w:hAnsi="Arial" w:cs="Arial"/>
                <w:sz w:val="24"/>
                <w:szCs w:val="24"/>
              </w:rPr>
              <w:t>Sep 2020</w:t>
            </w:r>
          </w:p>
        </w:tc>
      </w:tr>
      <w:tr w:rsidR="00C74952" w:rsidRPr="00FC3161" w14:paraId="4E24A1AA" w14:textId="77777777" w:rsidTr="00FC3161">
        <w:tc>
          <w:tcPr>
            <w:tcW w:w="6550" w:type="dxa"/>
          </w:tcPr>
          <w:p w14:paraId="5CA518B3" w14:textId="77777777" w:rsidR="00C74952" w:rsidRPr="00FC3161" w:rsidRDefault="00C74952" w:rsidP="002F24A3">
            <w:pPr>
              <w:overflowPunct w:val="0"/>
              <w:autoSpaceDE w:val="0"/>
              <w:autoSpaceDN w:val="0"/>
              <w:adjustRightInd w:val="0"/>
              <w:spacing w:after="100" w:line="240" w:lineRule="auto"/>
              <w:textAlignment w:val="baseline"/>
              <w:rPr>
                <w:rFonts w:ascii="Arial" w:eastAsia="Times New Roman" w:hAnsi="Arial" w:cs="Arial"/>
                <w:sz w:val="24"/>
                <w:szCs w:val="24"/>
              </w:rPr>
            </w:pPr>
            <w:r w:rsidRPr="00FC3161">
              <w:rPr>
                <w:rFonts w:ascii="Arial" w:eastAsia="Times New Roman" w:hAnsi="Arial" w:cs="Arial"/>
                <w:sz w:val="24"/>
                <w:szCs w:val="24"/>
              </w:rPr>
              <w:t>Offsite Storage &amp; Document Management</w:t>
            </w:r>
          </w:p>
        </w:tc>
        <w:tc>
          <w:tcPr>
            <w:tcW w:w="1417" w:type="dxa"/>
            <w:shd w:val="clear" w:color="auto" w:fill="auto"/>
          </w:tcPr>
          <w:p w14:paraId="44B16B63" w14:textId="77777777" w:rsidR="00C74952" w:rsidRPr="00FC3161" w:rsidRDefault="00C74952" w:rsidP="002F24A3">
            <w:pPr>
              <w:overflowPunct w:val="0"/>
              <w:autoSpaceDE w:val="0"/>
              <w:autoSpaceDN w:val="0"/>
              <w:adjustRightInd w:val="0"/>
              <w:spacing w:after="100" w:line="240" w:lineRule="auto"/>
              <w:jc w:val="center"/>
              <w:textAlignment w:val="baseline"/>
              <w:rPr>
                <w:rFonts w:ascii="Arial" w:eastAsia="Times New Roman" w:hAnsi="Arial" w:cs="Arial"/>
                <w:sz w:val="24"/>
                <w:szCs w:val="24"/>
              </w:rPr>
            </w:pPr>
            <w:r w:rsidRPr="00FC3161">
              <w:rPr>
                <w:rFonts w:ascii="Arial" w:eastAsia="Times New Roman" w:hAnsi="Arial" w:cs="Arial"/>
                <w:sz w:val="24"/>
                <w:szCs w:val="24"/>
              </w:rPr>
              <w:t>~£150k</w:t>
            </w:r>
          </w:p>
        </w:tc>
        <w:tc>
          <w:tcPr>
            <w:tcW w:w="2410" w:type="dxa"/>
          </w:tcPr>
          <w:p w14:paraId="65717F11" w14:textId="77777777" w:rsidR="00C74952" w:rsidRPr="00FC3161" w:rsidRDefault="00C74952" w:rsidP="002F24A3">
            <w:pPr>
              <w:overflowPunct w:val="0"/>
              <w:autoSpaceDE w:val="0"/>
              <w:autoSpaceDN w:val="0"/>
              <w:adjustRightInd w:val="0"/>
              <w:spacing w:after="100" w:line="240" w:lineRule="auto"/>
              <w:textAlignment w:val="baseline"/>
              <w:rPr>
                <w:rFonts w:ascii="Arial" w:eastAsia="Times New Roman" w:hAnsi="Arial" w:cs="Arial"/>
                <w:sz w:val="24"/>
                <w:szCs w:val="24"/>
              </w:rPr>
            </w:pPr>
            <w:r w:rsidRPr="00FC3161">
              <w:rPr>
                <w:rFonts w:ascii="Arial" w:eastAsia="Times New Roman" w:hAnsi="Arial" w:cs="Arial"/>
                <w:sz w:val="24"/>
                <w:szCs w:val="24"/>
              </w:rPr>
              <w:t>Jan 2021</w:t>
            </w:r>
          </w:p>
        </w:tc>
      </w:tr>
      <w:tr w:rsidR="00C74952" w:rsidRPr="00FC3161" w14:paraId="26834F1B" w14:textId="77777777" w:rsidTr="00FC3161">
        <w:tc>
          <w:tcPr>
            <w:tcW w:w="6550" w:type="dxa"/>
          </w:tcPr>
          <w:p w14:paraId="6E5AE593" w14:textId="77777777" w:rsidR="00C74952" w:rsidRPr="00FC3161" w:rsidRDefault="00C74952" w:rsidP="002F24A3">
            <w:pPr>
              <w:overflowPunct w:val="0"/>
              <w:autoSpaceDE w:val="0"/>
              <w:autoSpaceDN w:val="0"/>
              <w:adjustRightInd w:val="0"/>
              <w:spacing w:after="100" w:line="240" w:lineRule="auto"/>
              <w:textAlignment w:val="baseline"/>
              <w:rPr>
                <w:rFonts w:ascii="Arial" w:eastAsia="Times New Roman" w:hAnsi="Arial" w:cs="Arial"/>
                <w:sz w:val="24"/>
                <w:szCs w:val="24"/>
              </w:rPr>
            </w:pPr>
            <w:r w:rsidRPr="00FC3161">
              <w:rPr>
                <w:rFonts w:ascii="Arial" w:eastAsia="Times New Roman" w:hAnsi="Arial" w:cs="Arial"/>
                <w:sz w:val="24"/>
                <w:szCs w:val="24"/>
              </w:rPr>
              <w:t>Pluvial Mapping</w:t>
            </w:r>
          </w:p>
        </w:tc>
        <w:tc>
          <w:tcPr>
            <w:tcW w:w="1417" w:type="dxa"/>
            <w:shd w:val="clear" w:color="auto" w:fill="auto"/>
          </w:tcPr>
          <w:p w14:paraId="30262B0B" w14:textId="77777777" w:rsidR="00C74952" w:rsidRPr="00FC3161" w:rsidRDefault="00C74952" w:rsidP="002F24A3">
            <w:pPr>
              <w:overflowPunct w:val="0"/>
              <w:autoSpaceDE w:val="0"/>
              <w:autoSpaceDN w:val="0"/>
              <w:adjustRightInd w:val="0"/>
              <w:spacing w:after="100" w:line="240" w:lineRule="auto"/>
              <w:jc w:val="center"/>
              <w:textAlignment w:val="baseline"/>
              <w:rPr>
                <w:rFonts w:ascii="Arial" w:eastAsia="Times New Roman" w:hAnsi="Arial" w:cs="Arial"/>
                <w:sz w:val="24"/>
                <w:szCs w:val="24"/>
              </w:rPr>
            </w:pPr>
            <w:r w:rsidRPr="00FC3161">
              <w:rPr>
                <w:rFonts w:ascii="Arial" w:eastAsia="Times New Roman" w:hAnsi="Arial" w:cs="Arial"/>
                <w:sz w:val="24"/>
                <w:szCs w:val="24"/>
              </w:rPr>
              <w:t>~£2m</w:t>
            </w:r>
          </w:p>
        </w:tc>
        <w:tc>
          <w:tcPr>
            <w:tcW w:w="2410" w:type="dxa"/>
          </w:tcPr>
          <w:p w14:paraId="434E1B8A" w14:textId="77777777" w:rsidR="00C74952" w:rsidRPr="00FC3161" w:rsidRDefault="00C74952" w:rsidP="002F24A3">
            <w:pPr>
              <w:overflowPunct w:val="0"/>
              <w:autoSpaceDE w:val="0"/>
              <w:autoSpaceDN w:val="0"/>
              <w:adjustRightInd w:val="0"/>
              <w:spacing w:after="100" w:line="240" w:lineRule="auto"/>
              <w:textAlignment w:val="baseline"/>
              <w:rPr>
                <w:rFonts w:ascii="Arial" w:eastAsia="Times New Roman" w:hAnsi="Arial" w:cs="Arial"/>
                <w:sz w:val="24"/>
                <w:szCs w:val="24"/>
              </w:rPr>
            </w:pPr>
            <w:r w:rsidRPr="00FC3161">
              <w:rPr>
                <w:rFonts w:ascii="Arial" w:eastAsia="Times New Roman" w:hAnsi="Arial" w:cs="Arial"/>
                <w:sz w:val="24"/>
                <w:szCs w:val="24"/>
              </w:rPr>
              <w:t>Nov 2020</w:t>
            </w:r>
          </w:p>
        </w:tc>
      </w:tr>
      <w:tr w:rsidR="00C74952" w:rsidRPr="00FC3161" w14:paraId="6534293D" w14:textId="77777777" w:rsidTr="00FC3161">
        <w:tc>
          <w:tcPr>
            <w:tcW w:w="6550" w:type="dxa"/>
            <w:vAlign w:val="center"/>
          </w:tcPr>
          <w:p w14:paraId="167E8DB6" w14:textId="77777777" w:rsidR="00C74952" w:rsidRPr="00FC3161" w:rsidRDefault="00C74952" w:rsidP="002F24A3">
            <w:pPr>
              <w:overflowPunct w:val="0"/>
              <w:autoSpaceDE w:val="0"/>
              <w:autoSpaceDN w:val="0"/>
              <w:adjustRightInd w:val="0"/>
              <w:spacing w:after="100" w:line="240" w:lineRule="auto"/>
              <w:textAlignment w:val="baseline"/>
              <w:rPr>
                <w:rFonts w:ascii="Arial" w:eastAsia="Times New Roman" w:hAnsi="Arial" w:cs="Arial"/>
                <w:color w:val="FF0000"/>
                <w:sz w:val="24"/>
                <w:szCs w:val="24"/>
              </w:rPr>
            </w:pPr>
            <w:r w:rsidRPr="00FC3161">
              <w:rPr>
                <w:rFonts w:ascii="Arial" w:eastAsia="Times New Roman" w:hAnsi="Arial" w:cs="Arial"/>
                <w:sz w:val="24"/>
                <w:szCs w:val="24"/>
              </w:rPr>
              <w:t>Flood Warning Dissemination</w:t>
            </w:r>
          </w:p>
        </w:tc>
        <w:tc>
          <w:tcPr>
            <w:tcW w:w="1417" w:type="dxa"/>
            <w:vAlign w:val="center"/>
          </w:tcPr>
          <w:p w14:paraId="100F3CDD" w14:textId="77777777" w:rsidR="00C74952" w:rsidRPr="00FC3161" w:rsidRDefault="00C74952" w:rsidP="002F24A3">
            <w:pPr>
              <w:overflowPunct w:val="0"/>
              <w:autoSpaceDE w:val="0"/>
              <w:autoSpaceDN w:val="0"/>
              <w:adjustRightInd w:val="0"/>
              <w:spacing w:after="100" w:line="240" w:lineRule="auto"/>
              <w:jc w:val="center"/>
              <w:textAlignment w:val="baseline"/>
              <w:rPr>
                <w:rFonts w:ascii="Arial" w:eastAsia="Times New Roman" w:hAnsi="Arial" w:cs="Arial"/>
                <w:color w:val="FF0000"/>
                <w:sz w:val="24"/>
                <w:szCs w:val="24"/>
              </w:rPr>
            </w:pPr>
            <w:r w:rsidRPr="00FC3161">
              <w:rPr>
                <w:rFonts w:ascii="Arial" w:eastAsia="Times New Roman" w:hAnsi="Arial" w:cs="Arial"/>
                <w:sz w:val="24"/>
                <w:szCs w:val="24"/>
              </w:rPr>
              <w:t>£2m</w:t>
            </w:r>
          </w:p>
        </w:tc>
        <w:tc>
          <w:tcPr>
            <w:tcW w:w="2410" w:type="dxa"/>
            <w:vAlign w:val="center"/>
          </w:tcPr>
          <w:p w14:paraId="339E912D" w14:textId="77777777" w:rsidR="00C74952" w:rsidRPr="00FC3161" w:rsidRDefault="00C74952" w:rsidP="002F24A3">
            <w:pPr>
              <w:overflowPunct w:val="0"/>
              <w:autoSpaceDE w:val="0"/>
              <w:autoSpaceDN w:val="0"/>
              <w:adjustRightInd w:val="0"/>
              <w:spacing w:after="100" w:line="240" w:lineRule="auto"/>
              <w:textAlignment w:val="baseline"/>
              <w:rPr>
                <w:rFonts w:ascii="Arial" w:eastAsia="Times New Roman" w:hAnsi="Arial" w:cs="Arial"/>
                <w:color w:val="FF0000"/>
                <w:sz w:val="24"/>
                <w:szCs w:val="24"/>
              </w:rPr>
            </w:pPr>
            <w:r w:rsidRPr="00FC3161">
              <w:rPr>
                <w:rFonts w:ascii="Arial" w:eastAsia="Times New Roman" w:hAnsi="Arial" w:cs="Arial"/>
                <w:sz w:val="24"/>
                <w:szCs w:val="24"/>
              </w:rPr>
              <w:t>2021/22</w:t>
            </w:r>
          </w:p>
        </w:tc>
      </w:tr>
      <w:tr w:rsidR="00C74952" w:rsidRPr="00FC3161" w14:paraId="452B0658" w14:textId="77777777" w:rsidTr="00FC3161">
        <w:tc>
          <w:tcPr>
            <w:tcW w:w="10377" w:type="dxa"/>
            <w:gridSpan w:val="3"/>
            <w:shd w:val="clear" w:color="auto" w:fill="D9D9D9" w:themeFill="background1" w:themeFillShade="D9"/>
            <w:vAlign w:val="center"/>
          </w:tcPr>
          <w:p w14:paraId="1D1EE45A" w14:textId="77777777" w:rsidR="00C74952" w:rsidRPr="00FC3161" w:rsidRDefault="00C74952" w:rsidP="002F24A3">
            <w:pPr>
              <w:overflowPunct w:val="0"/>
              <w:autoSpaceDE w:val="0"/>
              <w:autoSpaceDN w:val="0"/>
              <w:adjustRightInd w:val="0"/>
              <w:spacing w:after="100" w:line="240" w:lineRule="auto"/>
              <w:jc w:val="center"/>
              <w:textAlignment w:val="baseline"/>
              <w:rPr>
                <w:rFonts w:ascii="Arial" w:eastAsia="Times New Roman" w:hAnsi="Arial" w:cs="Arial"/>
                <w:sz w:val="24"/>
                <w:szCs w:val="24"/>
              </w:rPr>
            </w:pPr>
            <w:r w:rsidRPr="00FC3161">
              <w:rPr>
                <w:rFonts w:ascii="Arial" w:eastAsia="Times New Roman" w:hAnsi="Arial" w:cs="Arial"/>
                <w:b/>
                <w:sz w:val="24"/>
                <w:szCs w:val="24"/>
              </w:rPr>
              <w:t>Contracts under consideration</w:t>
            </w:r>
          </w:p>
        </w:tc>
      </w:tr>
      <w:tr w:rsidR="00C74952" w:rsidRPr="00FC3161" w14:paraId="62D8D052" w14:textId="77777777" w:rsidTr="00FC3161">
        <w:tc>
          <w:tcPr>
            <w:tcW w:w="6550" w:type="dxa"/>
          </w:tcPr>
          <w:p w14:paraId="1E9F39E8" w14:textId="77777777" w:rsidR="00C74952" w:rsidRPr="00FC3161" w:rsidRDefault="00C74952" w:rsidP="002F24A3">
            <w:pPr>
              <w:overflowPunct w:val="0"/>
              <w:autoSpaceDE w:val="0"/>
              <w:autoSpaceDN w:val="0"/>
              <w:adjustRightInd w:val="0"/>
              <w:spacing w:after="100" w:line="240" w:lineRule="auto"/>
              <w:textAlignment w:val="baseline"/>
              <w:rPr>
                <w:rFonts w:ascii="Arial" w:eastAsia="Times New Roman" w:hAnsi="Arial" w:cs="Arial"/>
                <w:sz w:val="24"/>
                <w:szCs w:val="24"/>
              </w:rPr>
            </w:pPr>
            <w:r w:rsidRPr="00FC3161">
              <w:rPr>
                <w:rFonts w:ascii="Arial" w:eastAsia="Times New Roman" w:hAnsi="Arial" w:cs="Arial"/>
                <w:sz w:val="24"/>
                <w:szCs w:val="24"/>
              </w:rPr>
              <w:t>Communications and Design Framework</w:t>
            </w:r>
          </w:p>
        </w:tc>
        <w:tc>
          <w:tcPr>
            <w:tcW w:w="1417" w:type="dxa"/>
            <w:vAlign w:val="center"/>
          </w:tcPr>
          <w:p w14:paraId="5D7D4E40" w14:textId="77777777" w:rsidR="00C74952" w:rsidRPr="00FC3161" w:rsidRDefault="00C74952" w:rsidP="002F24A3">
            <w:pPr>
              <w:overflowPunct w:val="0"/>
              <w:autoSpaceDE w:val="0"/>
              <w:autoSpaceDN w:val="0"/>
              <w:adjustRightInd w:val="0"/>
              <w:spacing w:after="100" w:line="240" w:lineRule="auto"/>
              <w:jc w:val="center"/>
              <w:textAlignment w:val="baseline"/>
              <w:rPr>
                <w:rFonts w:ascii="Arial" w:eastAsia="Times New Roman" w:hAnsi="Arial" w:cs="Arial"/>
                <w:sz w:val="24"/>
                <w:szCs w:val="24"/>
              </w:rPr>
            </w:pPr>
            <w:r w:rsidRPr="00FC3161">
              <w:rPr>
                <w:rFonts w:ascii="Arial" w:eastAsia="Times New Roman" w:hAnsi="Arial" w:cs="Arial"/>
                <w:sz w:val="24"/>
                <w:szCs w:val="24"/>
              </w:rPr>
              <w:t>TBA</w:t>
            </w:r>
          </w:p>
        </w:tc>
        <w:tc>
          <w:tcPr>
            <w:tcW w:w="2410" w:type="dxa"/>
            <w:vAlign w:val="center"/>
          </w:tcPr>
          <w:p w14:paraId="2B2FC657" w14:textId="77777777" w:rsidR="00C74952" w:rsidRPr="00FC3161" w:rsidRDefault="00C74952" w:rsidP="002F24A3">
            <w:pPr>
              <w:overflowPunct w:val="0"/>
              <w:autoSpaceDE w:val="0"/>
              <w:autoSpaceDN w:val="0"/>
              <w:adjustRightInd w:val="0"/>
              <w:spacing w:after="100" w:line="240" w:lineRule="auto"/>
              <w:textAlignment w:val="baseline"/>
              <w:rPr>
                <w:rFonts w:ascii="Arial" w:eastAsia="Times New Roman" w:hAnsi="Arial" w:cs="Arial"/>
                <w:sz w:val="24"/>
                <w:szCs w:val="24"/>
              </w:rPr>
            </w:pPr>
            <w:r w:rsidRPr="00FC3161">
              <w:rPr>
                <w:rFonts w:ascii="Arial" w:eastAsia="Times New Roman" w:hAnsi="Arial" w:cs="Arial"/>
                <w:sz w:val="24"/>
                <w:szCs w:val="24"/>
              </w:rPr>
              <w:t>TBA</w:t>
            </w:r>
          </w:p>
        </w:tc>
      </w:tr>
      <w:tr w:rsidR="00C74952" w:rsidRPr="00FC3161" w14:paraId="436F8C3C" w14:textId="77777777" w:rsidTr="00FC3161">
        <w:tc>
          <w:tcPr>
            <w:tcW w:w="6550" w:type="dxa"/>
          </w:tcPr>
          <w:p w14:paraId="32BCB607" w14:textId="77777777" w:rsidR="00C74952" w:rsidRPr="00FC3161" w:rsidRDefault="00C74952" w:rsidP="002F24A3">
            <w:pPr>
              <w:overflowPunct w:val="0"/>
              <w:autoSpaceDE w:val="0"/>
              <w:autoSpaceDN w:val="0"/>
              <w:adjustRightInd w:val="0"/>
              <w:spacing w:after="100" w:line="240" w:lineRule="auto"/>
              <w:textAlignment w:val="baseline"/>
              <w:rPr>
                <w:rFonts w:ascii="Arial" w:eastAsia="Times New Roman" w:hAnsi="Arial" w:cs="Arial"/>
                <w:sz w:val="24"/>
                <w:szCs w:val="24"/>
              </w:rPr>
            </w:pPr>
            <w:r w:rsidRPr="00FC3161">
              <w:rPr>
                <w:rFonts w:ascii="Arial" w:eastAsia="Times New Roman" w:hAnsi="Arial" w:cs="Arial"/>
                <w:sz w:val="24"/>
                <w:szCs w:val="24"/>
              </w:rPr>
              <w:t>Stack Emissions Monitoring Framework</w:t>
            </w:r>
          </w:p>
        </w:tc>
        <w:tc>
          <w:tcPr>
            <w:tcW w:w="1417" w:type="dxa"/>
            <w:vAlign w:val="center"/>
          </w:tcPr>
          <w:p w14:paraId="0C9FF506" w14:textId="77777777" w:rsidR="00C74952" w:rsidRPr="00FC3161" w:rsidRDefault="00C74952" w:rsidP="002F24A3">
            <w:pPr>
              <w:overflowPunct w:val="0"/>
              <w:autoSpaceDE w:val="0"/>
              <w:autoSpaceDN w:val="0"/>
              <w:adjustRightInd w:val="0"/>
              <w:spacing w:after="100" w:line="240" w:lineRule="auto"/>
              <w:jc w:val="center"/>
              <w:textAlignment w:val="baseline"/>
              <w:rPr>
                <w:rFonts w:ascii="Arial" w:eastAsia="Times New Roman" w:hAnsi="Arial" w:cs="Arial"/>
                <w:sz w:val="24"/>
                <w:szCs w:val="24"/>
              </w:rPr>
            </w:pPr>
            <w:r w:rsidRPr="00FC3161">
              <w:rPr>
                <w:rFonts w:ascii="Arial" w:eastAsia="Times New Roman" w:hAnsi="Arial" w:cs="Arial"/>
                <w:sz w:val="24"/>
                <w:szCs w:val="24"/>
              </w:rPr>
              <w:t>~£600k</w:t>
            </w:r>
          </w:p>
        </w:tc>
        <w:tc>
          <w:tcPr>
            <w:tcW w:w="2410" w:type="dxa"/>
            <w:vAlign w:val="center"/>
          </w:tcPr>
          <w:p w14:paraId="6F87AFC8" w14:textId="77777777" w:rsidR="00C74952" w:rsidRPr="00FC3161" w:rsidRDefault="00C74952" w:rsidP="002F24A3">
            <w:pPr>
              <w:overflowPunct w:val="0"/>
              <w:autoSpaceDE w:val="0"/>
              <w:autoSpaceDN w:val="0"/>
              <w:adjustRightInd w:val="0"/>
              <w:spacing w:after="100" w:line="240" w:lineRule="auto"/>
              <w:textAlignment w:val="baseline"/>
              <w:rPr>
                <w:rFonts w:ascii="Arial" w:eastAsia="Times New Roman" w:hAnsi="Arial" w:cs="Arial"/>
                <w:sz w:val="24"/>
                <w:szCs w:val="24"/>
              </w:rPr>
            </w:pPr>
            <w:r w:rsidRPr="00FC3161">
              <w:rPr>
                <w:rFonts w:ascii="Arial" w:eastAsia="Times New Roman" w:hAnsi="Arial" w:cs="Arial"/>
                <w:sz w:val="24"/>
                <w:szCs w:val="24"/>
              </w:rPr>
              <w:t>TBA</w:t>
            </w:r>
          </w:p>
        </w:tc>
      </w:tr>
      <w:tr w:rsidR="00C74952" w:rsidRPr="00FC3161" w14:paraId="3A4F363A" w14:textId="77777777" w:rsidTr="00FC3161">
        <w:tc>
          <w:tcPr>
            <w:tcW w:w="6550" w:type="dxa"/>
          </w:tcPr>
          <w:p w14:paraId="2963A7F3" w14:textId="77777777" w:rsidR="00C74952" w:rsidRPr="00FC3161" w:rsidRDefault="00C74952" w:rsidP="002F24A3">
            <w:pPr>
              <w:overflowPunct w:val="0"/>
              <w:autoSpaceDE w:val="0"/>
              <w:autoSpaceDN w:val="0"/>
              <w:adjustRightInd w:val="0"/>
              <w:spacing w:after="100" w:line="240" w:lineRule="auto"/>
              <w:textAlignment w:val="baseline"/>
              <w:rPr>
                <w:rFonts w:ascii="Arial" w:eastAsia="Times New Roman" w:hAnsi="Arial" w:cs="Arial"/>
                <w:sz w:val="24"/>
                <w:szCs w:val="24"/>
              </w:rPr>
            </w:pPr>
            <w:r w:rsidRPr="00FC3161">
              <w:rPr>
                <w:rFonts w:ascii="Arial" w:eastAsia="Times New Roman" w:hAnsi="Arial" w:cs="Arial"/>
                <w:sz w:val="24"/>
                <w:szCs w:val="24"/>
              </w:rPr>
              <w:t>Laboratory Consumables</w:t>
            </w:r>
          </w:p>
        </w:tc>
        <w:tc>
          <w:tcPr>
            <w:tcW w:w="1417" w:type="dxa"/>
            <w:vAlign w:val="center"/>
          </w:tcPr>
          <w:p w14:paraId="6F2EDA0F" w14:textId="77777777" w:rsidR="00C74952" w:rsidRPr="00FC3161" w:rsidRDefault="00C74952" w:rsidP="002F24A3">
            <w:pPr>
              <w:overflowPunct w:val="0"/>
              <w:autoSpaceDE w:val="0"/>
              <w:autoSpaceDN w:val="0"/>
              <w:adjustRightInd w:val="0"/>
              <w:spacing w:after="100" w:line="240" w:lineRule="auto"/>
              <w:jc w:val="center"/>
              <w:textAlignment w:val="baseline"/>
              <w:rPr>
                <w:rFonts w:ascii="Arial" w:eastAsia="Times New Roman" w:hAnsi="Arial" w:cs="Arial"/>
                <w:sz w:val="24"/>
                <w:szCs w:val="24"/>
              </w:rPr>
            </w:pPr>
            <w:r w:rsidRPr="00FC3161">
              <w:rPr>
                <w:rFonts w:ascii="Arial" w:eastAsia="Times New Roman" w:hAnsi="Arial" w:cs="Arial"/>
                <w:sz w:val="24"/>
                <w:szCs w:val="24"/>
              </w:rPr>
              <w:t>£1m</w:t>
            </w:r>
          </w:p>
        </w:tc>
        <w:tc>
          <w:tcPr>
            <w:tcW w:w="2410" w:type="dxa"/>
            <w:vAlign w:val="center"/>
          </w:tcPr>
          <w:p w14:paraId="737067E8" w14:textId="77777777" w:rsidR="00C74952" w:rsidRPr="00FC3161" w:rsidRDefault="00C74952" w:rsidP="002F24A3">
            <w:pPr>
              <w:overflowPunct w:val="0"/>
              <w:autoSpaceDE w:val="0"/>
              <w:autoSpaceDN w:val="0"/>
              <w:adjustRightInd w:val="0"/>
              <w:spacing w:after="100" w:line="240" w:lineRule="auto"/>
              <w:textAlignment w:val="baseline"/>
              <w:rPr>
                <w:rFonts w:ascii="Arial" w:eastAsia="Times New Roman" w:hAnsi="Arial" w:cs="Arial"/>
                <w:sz w:val="24"/>
                <w:szCs w:val="24"/>
              </w:rPr>
            </w:pPr>
            <w:r w:rsidRPr="00FC3161">
              <w:rPr>
                <w:rFonts w:ascii="Arial" w:eastAsia="Times New Roman" w:hAnsi="Arial" w:cs="Arial"/>
                <w:sz w:val="24"/>
                <w:szCs w:val="24"/>
              </w:rPr>
              <w:t>TBA</w:t>
            </w:r>
          </w:p>
        </w:tc>
      </w:tr>
      <w:tr w:rsidR="00C74952" w:rsidRPr="00FC3161" w14:paraId="3C6CFE58" w14:textId="77777777" w:rsidTr="00FC3161">
        <w:tc>
          <w:tcPr>
            <w:tcW w:w="6550" w:type="dxa"/>
          </w:tcPr>
          <w:p w14:paraId="0BE02E28" w14:textId="77777777" w:rsidR="00C74952" w:rsidRPr="00FC3161" w:rsidRDefault="00C74952" w:rsidP="002F24A3">
            <w:pPr>
              <w:overflowPunct w:val="0"/>
              <w:autoSpaceDE w:val="0"/>
              <w:autoSpaceDN w:val="0"/>
              <w:adjustRightInd w:val="0"/>
              <w:spacing w:after="100" w:line="240" w:lineRule="auto"/>
              <w:textAlignment w:val="baseline"/>
              <w:rPr>
                <w:rFonts w:ascii="Arial" w:eastAsia="Times New Roman" w:hAnsi="Arial" w:cs="Arial"/>
                <w:sz w:val="24"/>
                <w:szCs w:val="24"/>
              </w:rPr>
            </w:pPr>
            <w:r w:rsidRPr="00FC3161">
              <w:rPr>
                <w:rFonts w:ascii="Arial" w:eastAsia="Times New Roman" w:hAnsi="Arial" w:cs="Arial"/>
                <w:sz w:val="24"/>
                <w:szCs w:val="24"/>
              </w:rPr>
              <w:t>Postage and Mail Management</w:t>
            </w:r>
          </w:p>
        </w:tc>
        <w:tc>
          <w:tcPr>
            <w:tcW w:w="1417" w:type="dxa"/>
            <w:vAlign w:val="center"/>
          </w:tcPr>
          <w:p w14:paraId="32577B44" w14:textId="77777777" w:rsidR="00C74952" w:rsidRPr="00FC3161" w:rsidRDefault="00C74952" w:rsidP="002F24A3">
            <w:pPr>
              <w:overflowPunct w:val="0"/>
              <w:autoSpaceDE w:val="0"/>
              <w:autoSpaceDN w:val="0"/>
              <w:adjustRightInd w:val="0"/>
              <w:spacing w:after="100" w:line="240" w:lineRule="auto"/>
              <w:jc w:val="center"/>
              <w:textAlignment w:val="baseline"/>
              <w:rPr>
                <w:rFonts w:ascii="Arial" w:eastAsia="Times New Roman" w:hAnsi="Arial" w:cs="Arial"/>
                <w:sz w:val="24"/>
                <w:szCs w:val="24"/>
              </w:rPr>
            </w:pPr>
            <w:r w:rsidRPr="00FC3161">
              <w:rPr>
                <w:rFonts w:ascii="Arial" w:eastAsia="Times New Roman" w:hAnsi="Arial" w:cs="Arial"/>
                <w:sz w:val="24"/>
                <w:szCs w:val="24"/>
              </w:rPr>
              <w:t>TBA</w:t>
            </w:r>
          </w:p>
        </w:tc>
        <w:tc>
          <w:tcPr>
            <w:tcW w:w="2410" w:type="dxa"/>
            <w:vAlign w:val="center"/>
          </w:tcPr>
          <w:p w14:paraId="6120A529" w14:textId="77777777" w:rsidR="00C74952" w:rsidRPr="00FC3161" w:rsidRDefault="00C74952" w:rsidP="002F24A3">
            <w:pPr>
              <w:overflowPunct w:val="0"/>
              <w:autoSpaceDE w:val="0"/>
              <w:autoSpaceDN w:val="0"/>
              <w:adjustRightInd w:val="0"/>
              <w:spacing w:after="100" w:line="240" w:lineRule="auto"/>
              <w:textAlignment w:val="baseline"/>
              <w:rPr>
                <w:rFonts w:ascii="Arial" w:eastAsia="Times New Roman" w:hAnsi="Arial" w:cs="Arial"/>
                <w:sz w:val="24"/>
                <w:szCs w:val="24"/>
              </w:rPr>
            </w:pPr>
            <w:r w:rsidRPr="00FC3161">
              <w:rPr>
                <w:rFonts w:ascii="Arial" w:eastAsia="Times New Roman" w:hAnsi="Arial" w:cs="Arial"/>
                <w:sz w:val="24"/>
                <w:szCs w:val="24"/>
              </w:rPr>
              <w:t>TBA</w:t>
            </w:r>
          </w:p>
        </w:tc>
      </w:tr>
      <w:tr w:rsidR="00C74952" w:rsidRPr="00FC3161" w14:paraId="4BBCB823" w14:textId="77777777" w:rsidTr="00FC3161">
        <w:tc>
          <w:tcPr>
            <w:tcW w:w="6550" w:type="dxa"/>
          </w:tcPr>
          <w:p w14:paraId="3C6657C0" w14:textId="77777777" w:rsidR="00C74952" w:rsidRPr="00FC3161" w:rsidRDefault="00C74952" w:rsidP="002F24A3">
            <w:pPr>
              <w:overflowPunct w:val="0"/>
              <w:autoSpaceDE w:val="0"/>
              <w:autoSpaceDN w:val="0"/>
              <w:adjustRightInd w:val="0"/>
              <w:spacing w:after="100" w:line="240" w:lineRule="auto"/>
              <w:textAlignment w:val="baseline"/>
              <w:rPr>
                <w:rFonts w:ascii="Arial" w:eastAsia="Times New Roman" w:hAnsi="Arial" w:cs="Arial"/>
                <w:sz w:val="24"/>
                <w:szCs w:val="24"/>
              </w:rPr>
            </w:pPr>
            <w:r w:rsidRPr="00FC3161">
              <w:rPr>
                <w:rFonts w:ascii="Arial" w:eastAsia="Times New Roman" w:hAnsi="Arial" w:cs="Arial"/>
                <w:sz w:val="24"/>
                <w:szCs w:val="24"/>
              </w:rPr>
              <w:t>Phase 2 Gauging Station Design</w:t>
            </w:r>
          </w:p>
        </w:tc>
        <w:tc>
          <w:tcPr>
            <w:tcW w:w="1417" w:type="dxa"/>
            <w:vAlign w:val="center"/>
          </w:tcPr>
          <w:p w14:paraId="3D413C2A" w14:textId="77777777" w:rsidR="00C74952" w:rsidRPr="00FC3161" w:rsidRDefault="00C74952" w:rsidP="002F24A3">
            <w:pPr>
              <w:overflowPunct w:val="0"/>
              <w:autoSpaceDE w:val="0"/>
              <w:autoSpaceDN w:val="0"/>
              <w:adjustRightInd w:val="0"/>
              <w:spacing w:after="100" w:line="240" w:lineRule="auto"/>
              <w:jc w:val="center"/>
              <w:textAlignment w:val="baseline"/>
              <w:rPr>
                <w:rFonts w:ascii="Arial" w:eastAsia="Times New Roman" w:hAnsi="Arial" w:cs="Arial"/>
                <w:sz w:val="24"/>
                <w:szCs w:val="24"/>
              </w:rPr>
            </w:pPr>
            <w:r w:rsidRPr="00FC3161">
              <w:rPr>
                <w:rFonts w:ascii="Arial" w:eastAsia="Times New Roman" w:hAnsi="Arial" w:cs="Arial"/>
                <w:sz w:val="24"/>
                <w:szCs w:val="24"/>
              </w:rPr>
              <w:t>TBA</w:t>
            </w:r>
          </w:p>
        </w:tc>
        <w:tc>
          <w:tcPr>
            <w:tcW w:w="2410" w:type="dxa"/>
            <w:vAlign w:val="center"/>
          </w:tcPr>
          <w:p w14:paraId="0AADE1D1" w14:textId="77777777" w:rsidR="00C74952" w:rsidRPr="00FC3161" w:rsidRDefault="00C74952" w:rsidP="002F24A3">
            <w:pPr>
              <w:overflowPunct w:val="0"/>
              <w:autoSpaceDE w:val="0"/>
              <w:autoSpaceDN w:val="0"/>
              <w:adjustRightInd w:val="0"/>
              <w:spacing w:after="100" w:line="240" w:lineRule="auto"/>
              <w:textAlignment w:val="baseline"/>
              <w:rPr>
                <w:rFonts w:ascii="Arial" w:eastAsia="Times New Roman" w:hAnsi="Arial" w:cs="Arial"/>
                <w:sz w:val="24"/>
                <w:szCs w:val="24"/>
              </w:rPr>
            </w:pPr>
            <w:r w:rsidRPr="00FC3161">
              <w:rPr>
                <w:rFonts w:ascii="Arial" w:eastAsia="Times New Roman" w:hAnsi="Arial" w:cs="Arial"/>
                <w:sz w:val="24"/>
                <w:szCs w:val="24"/>
              </w:rPr>
              <w:t>TBA</w:t>
            </w:r>
          </w:p>
        </w:tc>
      </w:tr>
    </w:tbl>
    <w:p w14:paraId="21F0ECCF" w14:textId="77777777" w:rsidR="00C74952" w:rsidRDefault="00C74952" w:rsidP="00C74952">
      <w:pPr>
        <w:spacing w:after="0" w:line="240" w:lineRule="auto"/>
        <w:rPr>
          <w:rFonts w:ascii="Arial" w:hAnsi="Arial" w:cs="Arial"/>
          <w:b/>
          <w:color w:val="FF0000"/>
          <w:sz w:val="24"/>
          <w:szCs w:val="24"/>
          <w:highlight w:val="yellow"/>
        </w:rPr>
      </w:pPr>
    </w:p>
    <w:p w14:paraId="32B98FBA" w14:textId="77777777" w:rsidR="00C74952" w:rsidRPr="0044785F" w:rsidRDefault="00C74952" w:rsidP="00FC3161">
      <w:pPr>
        <w:pStyle w:val="ListParagraph"/>
        <w:numPr>
          <w:ilvl w:val="0"/>
          <w:numId w:val="24"/>
        </w:numPr>
        <w:spacing w:after="0" w:line="240" w:lineRule="auto"/>
        <w:ind w:left="426" w:hanging="142"/>
        <w:rPr>
          <w:rFonts w:ascii="Arial" w:hAnsi="Arial" w:cs="Arial"/>
          <w:b/>
          <w:color w:val="215868" w:themeColor="accent5" w:themeShade="80"/>
          <w:sz w:val="32"/>
          <w:szCs w:val="32"/>
        </w:rPr>
      </w:pPr>
      <w:r w:rsidRPr="0044785F">
        <w:rPr>
          <w:rFonts w:ascii="Arial" w:hAnsi="Arial" w:cs="Arial"/>
          <w:b/>
          <w:color w:val="215868" w:themeColor="accent5" w:themeShade="80"/>
          <w:sz w:val="32"/>
          <w:szCs w:val="32"/>
        </w:rPr>
        <w:t>Procurement Operating Plan 2019-21</w:t>
      </w:r>
    </w:p>
    <w:p w14:paraId="13CB93D6" w14:textId="77777777" w:rsidR="00C74952" w:rsidRPr="00070B35" w:rsidRDefault="00C74952" w:rsidP="00C74952">
      <w:pPr>
        <w:spacing w:after="0" w:line="240" w:lineRule="auto"/>
        <w:jc w:val="both"/>
        <w:rPr>
          <w:rFonts w:ascii="Arial" w:hAnsi="Arial" w:cs="Arial"/>
          <w:color w:val="FF0000"/>
        </w:rPr>
      </w:pPr>
    </w:p>
    <w:p w14:paraId="724E248B" w14:textId="7434BDF2" w:rsidR="001E7484" w:rsidRPr="001E7484" w:rsidRDefault="00C74952" w:rsidP="001E7484">
      <w:pPr>
        <w:spacing w:after="0" w:line="240" w:lineRule="auto"/>
        <w:jc w:val="both"/>
        <w:rPr>
          <w:rFonts w:ascii="Arial" w:eastAsia="Times New Roman" w:hAnsi="Arial" w:cs="Arial"/>
          <w:sz w:val="24"/>
          <w:szCs w:val="24"/>
        </w:rPr>
      </w:pPr>
      <w:r w:rsidRPr="001E7484">
        <w:rPr>
          <w:rFonts w:ascii="Arial" w:eastAsia="Times New Roman" w:hAnsi="Arial" w:cs="Arial"/>
          <w:sz w:val="24"/>
          <w:szCs w:val="24"/>
        </w:rPr>
        <w:t>The below offers a short summary of progress against the Procurement Operating Plan 2019-21.</w:t>
      </w:r>
    </w:p>
    <w:p w14:paraId="455129F3" w14:textId="77777777" w:rsidR="001E7484" w:rsidRPr="001E7484" w:rsidRDefault="001E7484" w:rsidP="001E7484">
      <w:pPr>
        <w:widowControl w:val="0"/>
        <w:autoSpaceDE w:val="0"/>
        <w:autoSpaceDN w:val="0"/>
        <w:spacing w:after="60" w:line="240" w:lineRule="auto"/>
        <w:jc w:val="both"/>
        <w:rPr>
          <w:rFonts w:ascii="Arial" w:hAnsi="Arial" w:cs="Arial"/>
          <w:vanish/>
          <w:sz w:val="24"/>
          <w:szCs w:val="24"/>
          <w:lang w:eastAsia="en-GB"/>
        </w:rPr>
      </w:pPr>
    </w:p>
    <w:p w14:paraId="249DDF25" w14:textId="7A75D16B" w:rsidR="00C74952" w:rsidRPr="00914B30" w:rsidRDefault="00C74952" w:rsidP="001E7484">
      <w:pPr>
        <w:pStyle w:val="ListParagraph"/>
        <w:widowControl w:val="0"/>
        <w:numPr>
          <w:ilvl w:val="1"/>
          <w:numId w:val="24"/>
        </w:numPr>
        <w:autoSpaceDE w:val="0"/>
        <w:autoSpaceDN w:val="0"/>
        <w:spacing w:after="60" w:line="240" w:lineRule="auto"/>
        <w:ind w:left="567" w:hanging="567"/>
        <w:jc w:val="both"/>
        <w:rPr>
          <w:rFonts w:ascii="Arial" w:hAnsi="Arial" w:cs="Arial"/>
          <w:b/>
          <w:sz w:val="28"/>
          <w:szCs w:val="28"/>
          <w:lang w:eastAsia="en-GB"/>
        </w:rPr>
      </w:pPr>
      <w:r w:rsidRPr="00914B30">
        <w:rPr>
          <w:rFonts w:ascii="Arial" w:hAnsi="Arial" w:cs="Arial"/>
          <w:b/>
          <w:sz w:val="28"/>
          <w:szCs w:val="28"/>
          <w:lang w:eastAsia="en-GB"/>
        </w:rPr>
        <w:t>Improving governance and processes</w:t>
      </w:r>
    </w:p>
    <w:p w14:paraId="57865E64" w14:textId="77777777" w:rsidR="00C74952" w:rsidRPr="001E7484" w:rsidRDefault="00C74952" w:rsidP="00C74952">
      <w:pPr>
        <w:widowControl w:val="0"/>
        <w:autoSpaceDE w:val="0"/>
        <w:autoSpaceDN w:val="0"/>
        <w:spacing w:after="60" w:line="240" w:lineRule="auto"/>
        <w:jc w:val="both"/>
        <w:rPr>
          <w:rFonts w:ascii="Arial" w:hAnsi="Arial" w:cs="Arial"/>
          <w:sz w:val="24"/>
          <w:szCs w:val="24"/>
          <w:lang w:eastAsia="en-GB"/>
        </w:rPr>
      </w:pPr>
    </w:p>
    <w:p w14:paraId="58DFF4E6" w14:textId="77777777" w:rsidR="00C74952" w:rsidRPr="001E7484" w:rsidRDefault="00C74952" w:rsidP="00C74952">
      <w:pPr>
        <w:widowControl w:val="0"/>
        <w:autoSpaceDE w:val="0"/>
        <w:autoSpaceDN w:val="0"/>
        <w:spacing w:after="60" w:line="240" w:lineRule="auto"/>
        <w:jc w:val="both"/>
        <w:rPr>
          <w:rFonts w:ascii="Arial" w:hAnsi="Arial" w:cs="Arial"/>
          <w:sz w:val="24"/>
          <w:szCs w:val="24"/>
          <w:lang w:eastAsia="en-GB"/>
        </w:rPr>
      </w:pPr>
      <w:r w:rsidRPr="001E7484">
        <w:rPr>
          <w:rFonts w:ascii="Arial" w:hAnsi="Arial" w:cs="Arial"/>
          <w:sz w:val="24"/>
          <w:szCs w:val="24"/>
          <w:lang w:eastAsia="en-GB"/>
        </w:rPr>
        <w:t>Summary – Improvements have been made across all areas of procurement governance. Particular focus has been given to making processes simpler and more proportionate. Where appropriate, processes have been made more robust to improve assurance in high risk areas.</w:t>
      </w:r>
    </w:p>
    <w:p w14:paraId="22C2FBD7" w14:textId="77777777" w:rsidR="00C74952" w:rsidRPr="001E7484" w:rsidRDefault="00C74952" w:rsidP="00C74952">
      <w:pPr>
        <w:pStyle w:val="ListParagraph"/>
        <w:widowControl w:val="0"/>
        <w:autoSpaceDE w:val="0"/>
        <w:autoSpaceDN w:val="0"/>
        <w:spacing w:after="60" w:line="240" w:lineRule="auto"/>
        <w:ind w:left="360"/>
        <w:jc w:val="both"/>
        <w:rPr>
          <w:rFonts w:ascii="Arial" w:hAnsi="Arial" w:cs="Arial"/>
          <w:sz w:val="24"/>
          <w:szCs w:val="24"/>
          <w:lang w:eastAsia="en-GB"/>
        </w:rPr>
      </w:pPr>
    </w:p>
    <w:p w14:paraId="2D442A3E" w14:textId="77777777" w:rsidR="00C74952" w:rsidRPr="001E7484" w:rsidRDefault="00C74952" w:rsidP="00C74952">
      <w:pPr>
        <w:pStyle w:val="ListParagraph"/>
        <w:widowControl w:val="0"/>
        <w:numPr>
          <w:ilvl w:val="0"/>
          <w:numId w:val="4"/>
        </w:numPr>
        <w:autoSpaceDE w:val="0"/>
        <w:autoSpaceDN w:val="0"/>
        <w:spacing w:after="60" w:line="240" w:lineRule="auto"/>
        <w:ind w:left="1080"/>
        <w:jc w:val="both"/>
        <w:rPr>
          <w:rFonts w:ascii="Arial" w:hAnsi="Arial" w:cs="Arial"/>
          <w:sz w:val="24"/>
          <w:szCs w:val="24"/>
          <w:lang w:eastAsia="en-GB"/>
        </w:rPr>
      </w:pPr>
      <w:r w:rsidRPr="001E7484">
        <w:rPr>
          <w:rFonts w:ascii="Arial" w:hAnsi="Arial" w:cs="Arial"/>
          <w:sz w:val="24"/>
          <w:szCs w:val="24"/>
          <w:lang w:eastAsia="en-GB"/>
        </w:rPr>
        <w:t xml:space="preserve">Non-Competitive Actions (NCA) – 2019/20 has seen a reduction in the number and value of NCAs. </w:t>
      </w:r>
    </w:p>
    <w:p w14:paraId="2B155CC6" w14:textId="77777777" w:rsidR="00C74952" w:rsidRPr="001E7484" w:rsidRDefault="00C74952" w:rsidP="00C74952">
      <w:pPr>
        <w:pStyle w:val="ListParagraph"/>
        <w:widowControl w:val="0"/>
        <w:numPr>
          <w:ilvl w:val="0"/>
          <w:numId w:val="4"/>
        </w:numPr>
        <w:autoSpaceDE w:val="0"/>
        <w:autoSpaceDN w:val="0"/>
        <w:spacing w:after="60" w:line="240" w:lineRule="auto"/>
        <w:ind w:left="1080"/>
        <w:jc w:val="both"/>
        <w:rPr>
          <w:rFonts w:ascii="Arial" w:hAnsi="Arial" w:cs="Arial"/>
          <w:sz w:val="24"/>
          <w:szCs w:val="24"/>
          <w:lang w:eastAsia="en-GB"/>
        </w:rPr>
      </w:pPr>
      <w:r w:rsidRPr="001E7484">
        <w:rPr>
          <w:rFonts w:ascii="Arial" w:hAnsi="Arial" w:cs="Arial"/>
          <w:sz w:val="24"/>
          <w:szCs w:val="24"/>
          <w:lang w:eastAsia="en-GB"/>
        </w:rPr>
        <w:t xml:space="preserve">Greater challenge for suppliers – A greater level of commerciality in discussions with our suppliers has often led to savings in the region of 5-10%. </w:t>
      </w:r>
    </w:p>
    <w:p w14:paraId="6D94E002" w14:textId="77777777" w:rsidR="00C74952" w:rsidRPr="001E7484" w:rsidRDefault="00C74952" w:rsidP="00C74952">
      <w:pPr>
        <w:pStyle w:val="ListParagraph"/>
        <w:widowControl w:val="0"/>
        <w:numPr>
          <w:ilvl w:val="0"/>
          <w:numId w:val="4"/>
        </w:numPr>
        <w:autoSpaceDE w:val="0"/>
        <w:autoSpaceDN w:val="0"/>
        <w:spacing w:after="60" w:line="240" w:lineRule="auto"/>
        <w:ind w:left="1080"/>
        <w:jc w:val="both"/>
        <w:rPr>
          <w:rFonts w:ascii="Arial" w:hAnsi="Arial" w:cs="Arial"/>
          <w:sz w:val="24"/>
          <w:szCs w:val="24"/>
          <w:lang w:eastAsia="en-GB"/>
        </w:rPr>
      </w:pPr>
      <w:r w:rsidRPr="001E7484">
        <w:rPr>
          <w:rFonts w:ascii="Arial" w:hAnsi="Arial" w:cs="Arial"/>
          <w:sz w:val="24"/>
          <w:szCs w:val="24"/>
          <w:lang w:eastAsia="en-GB"/>
        </w:rPr>
        <w:t xml:space="preserve">Contract register – Our Contracts Register has been reviewed and updated; the Procurement Team now have a high degree of confidence in its accuracy. </w:t>
      </w:r>
    </w:p>
    <w:p w14:paraId="0362A2E4" w14:textId="77777777" w:rsidR="00C74952" w:rsidRPr="00C65E58" w:rsidRDefault="00C74952" w:rsidP="00C74952">
      <w:pPr>
        <w:widowControl w:val="0"/>
        <w:autoSpaceDE w:val="0"/>
        <w:autoSpaceDN w:val="0"/>
        <w:spacing w:after="60" w:line="240" w:lineRule="auto"/>
        <w:jc w:val="both"/>
        <w:rPr>
          <w:rFonts w:ascii="Arial" w:hAnsi="Arial" w:cs="Arial"/>
          <w:lang w:eastAsia="en-GB"/>
        </w:rPr>
      </w:pPr>
    </w:p>
    <w:p w14:paraId="7A0FC989" w14:textId="77777777" w:rsidR="00C74952" w:rsidRPr="00914B30" w:rsidRDefault="00C74952" w:rsidP="001E7484">
      <w:pPr>
        <w:pStyle w:val="ListParagraph"/>
        <w:widowControl w:val="0"/>
        <w:numPr>
          <w:ilvl w:val="1"/>
          <w:numId w:val="24"/>
        </w:numPr>
        <w:autoSpaceDE w:val="0"/>
        <w:autoSpaceDN w:val="0"/>
        <w:spacing w:after="60" w:line="240" w:lineRule="auto"/>
        <w:ind w:left="567" w:hanging="567"/>
        <w:jc w:val="both"/>
        <w:rPr>
          <w:rFonts w:ascii="Arial" w:hAnsi="Arial" w:cs="Arial"/>
          <w:b/>
          <w:sz w:val="28"/>
          <w:szCs w:val="28"/>
          <w:lang w:eastAsia="en-GB"/>
        </w:rPr>
      </w:pPr>
      <w:r w:rsidRPr="00914B30">
        <w:rPr>
          <w:rFonts w:ascii="Arial" w:hAnsi="Arial" w:cs="Arial"/>
          <w:b/>
          <w:sz w:val="28"/>
          <w:szCs w:val="28"/>
          <w:lang w:eastAsia="en-GB"/>
        </w:rPr>
        <w:t>Focusing on key contracts and prioritising associated support</w:t>
      </w:r>
    </w:p>
    <w:p w14:paraId="4AB37C43" w14:textId="77777777" w:rsidR="00C74952" w:rsidRPr="001E7484" w:rsidRDefault="00C74952" w:rsidP="00C74952">
      <w:pPr>
        <w:widowControl w:val="0"/>
        <w:autoSpaceDE w:val="0"/>
        <w:autoSpaceDN w:val="0"/>
        <w:spacing w:after="60" w:line="240" w:lineRule="auto"/>
        <w:jc w:val="both"/>
        <w:rPr>
          <w:rFonts w:ascii="Arial" w:hAnsi="Arial" w:cs="Arial"/>
          <w:sz w:val="24"/>
          <w:szCs w:val="24"/>
          <w:lang w:eastAsia="en-GB"/>
        </w:rPr>
      </w:pPr>
    </w:p>
    <w:p w14:paraId="62B2FAF7" w14:textId="77777777" w:rsidR="00C74952" w:rsidRPr="001E7484" w:rsidRDefault="00C74952" w:rsidP="00C74952">
      <w:pPr>
        <w:widowControl w:val="0"/>
        <w:autoSpaceDE w:val="0"/>
        <w:autoSpaceDN w:val="0"/>
        <w:spacing w:after="60" w:line="240" w:lineRule="auto"/>
        <w:jc w:val="both"/>
        <w:rPr>
          <w:rFonts w:ascii="Arial" w:hAnsi="Arial" w:cs="Arial"/>
          <w:sz w:val="24"/>
          <w:szCs w:val="24"/>
          <w:lang w:eastAsia="en-GB"/>
        </w:rPr>
      </w:pPr>
      <w:r w:rsidRPr="001E7484">
        <w:rPr>
          <w:rFonts w:ascii="Arial" w:hAnsi="Arial" w:cs="Arial"/>
          <w:sz w:val="24"/>
          <w:szCs w:val="24"/>
          <w:lang w:eastAsia="en-GB"/>
        </w:rPr>
        <w:t xml:space="preserve">Summary – Significant changes have been made in how the Procurement Team aligned to support the organisation. There is a much greater focus on the achievement of AOP and 1PP objectives. </w:t>
      </w:r>
    </w:p>
    <w:p w14:paraId="0752D3C3" w14:textId="77777777" w:rsidR="00C74952" w:rsidRPr="001E7484" w:rsidRDefault="00C74952" w:rsidP="00C74952">
      <w:pPr>
        <w:widowControl w:val="0"/>
        <w:autoSpaceDE w:val="0"/>
        <w:autoSpaceDN w:val="0"/>
        <w:spacing w:after="60" w:line="240" w:lineRule="auto"/>
        <w:jc w:val="both"/>
        <w:rPr>
          <w:rFonts w:ascii="Arial" w:hAnsi="Arial" w:cs="Arial"/>
          <w:sz w:val="24"/>
          <w:szCs w:val="24"/>
          <w:lang w:eastAsia="en-GB"/>
        </w:rPr>
      </w:pPr>
      <w:r w:rsidRPr="001E7484">
        <w:rPr>
          <w:rFonts w:ascii="Arial" w:hAnsi="Arial" w:cs="Arial"/>
          <w:sz w:val="24"/>
          <w:szCs w:val="24"/>
          <w:lang w:eastAsia="en-GB"/>
        </w:rPr>
        <w:t>Priority contracts have been identified and are receiving additional support.</w:t>
      </w:r>
    </w:p>
    <w:p w14:paraId="0F92A740" w14:textId="77777777" w:rsidR="00C74952" w:rsidRPr="00C65E58" w:rsidRDefault="00C74952" w:rsidP="00C74952">
      <w:pPr>
        <w:pStyle w:val="ListParagraph"/>
        <w:widowControl w:val="0"/>
        <w:autoSpaceDE w:val="0"/>
        <w:autoSpaceDN w:val="0"/>
        <w:spacing w:after="60" w:line="240" w:lineRule="auto"/>
        <w:ind w:left="567"/>
        <w:jc w:val="both"/>
        <w:rPr>
          <w:rFonts w:ascii="Arial" w:hAnsi="Arial" w:cs="Arial"/>
          <w:lang w:eastAsia="en-GB"/>
        </w:rPr>
      </w:pPr>
    </w:p>
    <w:p w14:paraId="0826F9B3" w14:textId="77777777" w:rsidR="00C74952" w:rsidRPr="001E7484" w:rsidRDefault="00C74952" w:rsidP="00914B30">
      <w:pPr>
        <w:pStyle w:val="ListParagraph"/>
        <w:numPr>
          <w:ilvl w:val="0"/>
          <w:numId w:val="5"/>
        </w:numPr>
        <w:ind w:left="1134" w:hanging="414"/>
        <w:jc w:val="both"/>
        <w:rPr>
          <w:rFonts w:ascii="Arial" w:hAnsi="Arial" w:cs="Arial"/>
          <w:sz w:val="24"/>
          <w:szCs w:val="24"/>
          <w:lang w:eastAsia="en-GB"/>
        </w:rPr>
      </w:pPr>
      <w:r w:rsidRPr="001E7484">
        <w:rPr>
          <w:rFonts w:ascii="Arial" w:hAnsi="Arial" w:cs="Arial"/>
          <w:sz w:val="24"/>
          <w:szCs w:val="24"/>
          <w:lang w:eastAsia="en-GB"/>
        </w:rPr>
        <w:lastRenderedPageBreak/>
        <w:t xml:space="preserve">Contract classification – Contract classification has been undertaken and will now be used to prioritise support and allocate supplier relationship managers in line with AOP objectives. </w:t>
      </w:r>
    </w:p>
    <w:p w14:paraId="5A460B63" w14:textId="77777777" w:rsidR="00C74952" w:rsidRPr="001E7484" w:rsidRDefault="00C74952" w:rsidP="00914B30">
      <w:pPr>
        <w:pStyle w:val="ListParagraph"/>
        <w:numPr>
          <w:ilvl w:val="0"/>
          <w:numId w:val="5"/>
        </w:numPr>
        <w:ind w:left="1134" w:hanging="414"/>
        <w:jc w:val="both"/>
        <w:rPr>
          <w:rFonts w:ascii="Arial" w:hAnsi="Arial" w:cs="Arial"/>
          <w:sz w:val="24"/>
          <w:szCs w:val="24"/>
          <w:lang w:eastAsia="en-GB"/>
        </w:rPr>
      </w:pPr>
      <w:r w:rsidRPr="001E7484">
        <w:rPr>
          <w:rFonts w:ascii="Arial" w:hAnsi="Arial" w:cs="Arial"/>
          <w:sz w:val="24"/>
          <w:szCs w:val="24"/>
          <w:lang w:eastAsia="en-GB"/>
        </w:rPr>
        <w:t xml:space="preserve">Supplier failure guidance – Significant work has been undertaken in response to COVID-19 to mitigate contract risk, in particular where there has been supply interruption. </w:t>
      </w:r>
    </w:p>
    <w:p w14:paraId="4C2FBA1E" w14:textId="77777777" w:rsidR="00C74952" w:rsidRPr="00C65E58" w:rsidRDefault="00C74952" w:rsidP="00C74952">
      <w:pPr>
        <w:pStyle w:val="ListParagraph"/>
        <w:ind w:left="1080"/>
        <w:rPr>
          <w:rFonts w:ascii="Arial" w:hAnsi="Arial" w:cs="Arial"/>
          <w:lang w:eastAsia="en-GB"/>
        </w:rPr>
      </w:pPr>
    </w:p>
    <w:p w14:paraId="5E03F2FA" w14:textId="77777777" w:rsidR="00C74952" w:rsidRPr="00914B30" w:rsidRDefault="00C74952" w:rsidP="001E7484">
      <w:pPr>
        <w:pStyle w:val="ListParagraph"/>
        <w:widowControl w:val="0"/>
        <w:numPr>
          <w:ilvl w:val="1"/>
          <w:numId w:val="24"/>
        </w:numPr>
        <w:autoSpaceDE w:val="0"/>
        <w:autoSpaceDN w:val="0"/>
        <w:spacing w:after="60" w:line="240" w:lineRule="auto"/>
        <w:ind w:left="567" w:hanging="567"/>
        <w:jc w:val="both"/>
        <w:rPr>
          <w:rFonts w:ascii="Arial" w:hAnsi="Arial" w:cs="Arial"/>
          <w:b/>
          <w:sz w:val="28"/>
          <w:szCs w:val="28"/>
          <w:lang w:eastAsia="en-GB"/>
        </w:rPr>
      </w:pPr>
      <w:r w:rsidRPr="00914B30">
        <w:rPr>
          <w:rFonts w:ascii="Arial" w:hAnsi="Arial" w:cs="Arial"/>
          <w:b/>
          <w:sz w:val="28"/>
          <w:szCs w:val="28"/>
          <w:lang w:eastAsia="en-GB"/>
        </w:rPr>
        <w:t>Improving the sustainability of our contracts</w:t>
      </w:r>
    </w:p>
    <w:p w14:paraId="588D581B" w14:textId="77777777" w:rsidR="00C74952" w:rsidRPr="00C65E58" w:rsidRDefault="00C74952" w:rsidP="00C74952">
      <w:pPr>
        <w:widowControl w:val="0"/>
        <w:autoSpaceDE w:val="0"/>
        <w:autoSpaceDN w:val="0"/>
        <w:spacing w:after="60" w:line="240" w:lineRule="auto"/>
        <w:jc w:val="both"/>
        <w:rPr>
          <w:rFonts w:ascii="Arial" w:hAnsi="Arial" w:cs="Arial"/>
          <w:lang w:eastAsia="en-GB"/>
        </w:rPr>
      </w:pPr>
    </w:p>
    <w:p w14:paraId="4179E43E" w14:textId="77777777" w:rsidR="00C74952" w:rsidRPr="001E7484" w:rsidRDefault="00C74952" w:rsidP="00C74952">
      <w:pPr>
        <w:widowControl w:val="0"/>
        <w:autoSpaceDE w:val="0"/>
        <w:autoSpaceDN w:val="0"/>
        <w:spacing w:after="60" w:line="240" w:lineRule="auto"/>
        <w:jc w:val="both"/>
        <w:rPr>
          <w:rFonts w:ascii="Arial" w:hAnsi="Arial" w:cs="Arial"/>
          <w:sz w:val="24"/>
          <w:szCs w:val="24"/>
          <w:lang w:eastAsia="en-GB"/>
        </w:rPr>
      </w:pPr>
      <w:r w:rsidRPr="001E7484">
        <w:rPr>
          <w:rFonts w:ascii="Arial" w:hAnsi="Arial" w:cs="Arial"/>
          <w:sz w:val="24"/>
          <w:szCs w:val="24"/>
          <w:lang w:eastAsia="en-GB"/>
        </w:rPr>
        <w:t>Summary – Limited progress has been made against this objective and it will be a focus of the Team’s work in 2020/21. Contracts for 2020/21 have been prioritised, enabling proactive discussions around the effective delivery of sustainable procurement moving forward.</w:t>
      </w:r>
    </w:p>
    <w:p w14:paraId="7C35EF98" w14:textId="77777777" w:rsidR="00C74952" w:rsidRPr="001E7484" w:rsidRDefault="00C74952" w:rsidP="00C74952">
      <w:pPr>
        <w:pStyle w:val="ListParagraph"/>
        <w:widowControl w:val="0"/>
        <w:autoSpaceDE w:val="0"/>
        <w:autoSpaceDN w:val="0"/>
        <w:spacing w:after="60" w:line="240" w:lineRule="auto"/>
        <w:ind w:left="567"/>
        <w:jc w:val="both"/>
        <w:rPr>
          <w:rFonts w:ascii="Arial" w:hAnsi="Arial" w:cs="Arial"/>
          <w:sz w:val="24"/>
          <w:szCs w:val="24"/>
          <w:lang w:eastAsia="en-GB"/>
        </w:rPr>
      </w:pPr>
    </w:p>
    <w:p w14:paraId="3C358897" w14:textId="77777777" w:rsidR="00C74952" w:rsidRPr="001E7484" w:rsidRDefault="00C74952" w:rsidP="00C74952">
      <w:pPr>
        <w:pStyle w:val="ListParagraph"/>
        <w:widowControl w:val="0"/>
        <w:numPr>
          <w:ilvl w:val="0"/>
          <w:numId w:val="6"/>
        </w:numPr>
        <w:autoSpaceDE w:val="0"/>
        <w:autoSpaceDN w:val="0"/>
        <w:spacing w:after="60" w:line="240" w:lineRule="auto"/>
        <w:ind w:left="1134" w:hanging="425"/>
        <w:jc w:val="both"/>
        <w:rPr>
          <w:rFonts w:ascii="Arial" w:eastAsia="Times New Roman" w:hAnsi="Arial" w:cs="Arial"/>
          <w:sz w:val="24"/>
          <w:szCs w:val="24"/>
        </w:rPr>
      </w:pPr>
      <w:r w:rsidRPr="001E7484">
        <w:rPr>
          <w:rFonts w:ascii="Arial" w:eastAsia="Times New Roman" w:hAnsi="Arial" w:cs="Arial"/>
          <w:sz w:val="24"/>
          <w:szCs w:val="24"/>
        </w:rPr>
        <w:t xml:space="preserve">Delivery of Level 3 on the SG Flexible Framework – The Flexible Framework is used to measure the maturity of sustainable procurement within an organisation. The initial assessment shows SEPA to be performing below Level 1 on a scale of 1-5. An action plan is now in place to take SEPA to level 3 of the flexible framework during 2020/21. </w:t>
      </w:r>
    </w:p>
    <w:p w14:paraId="6CC5D1C2" w14:textId="77777777" w:rsidR="00C74952" w:rsidRPr="00C65E58" w:rsidRDefault="00C74952" w:rsidP="00C74952">
      <w:pPr>
        <w:pStyle w:val="ListParagraph"/>
        <w:widowControl w:val="0"/>
        <w:autoSpaceDE w:val="0"/>
        <w:autoSpaceDN w:val="0"/>
        <w:spacing w:after="60" w:line="240" w:lineRule="auto"/>
        <w:ind w:left="1134"/>
        <w:jc w:val="both"/>
        <w:rPr>
          <w:rFonts w:ascii="Arial" w:eastAsia="Times New Roman" w:hAnsi="Arial" w:cs="Arial"/>
        </w:rPr>
      </w:pPr>
    </w:p>
    <w:p w14:paraId="7C0CF58F" w14:textId="77777777" w:rsidR="00C74952" w:rsidRPr="00914B30" w:rsidRDefault="00C74952" w:rsidP="001E7484">
      <w:pPr>
        <w:pStyle w:val="ListParagraph"/>
        <w:widowControl w:val="0"/>
        <w:numPr>
          <w:ilvl w:val="1"/>
          <w:numId w:val="24"/>
        </w:numPr>
        <w:autoSpaceDE w:val="0"/>
        <w:autoSpaceDN w:val="0"/>
        <w:spacing w:after="60" w:line="240" w:lineRule="auto"/>
        <w:ind w:left="567" w:hanging="567"/>
        <w:jc w:val="both"/>
        <w:rPr>
          <w:rFonts w:ascii="Arial" w:hAnsi="Arial" w:cs="Arial"/>
          <w:b/>
          <w:sz w:val="28"/>
          <w:szCs w:val="28"/>
          <w:lang w:eastAsia="en-GB"/>
        </w:rPr>
      </w:pPr>
      <w:r w:rsidRPr="00914B30">
        <w:rPr>
          <w:rFonts w:ascii="Arial" w:hAnsi="Arial" w:cs="Arial"/>
          <w:b/>
          <w:sz w:val="28"/>
          <w:szCs w:val="28"/>
          <w:lang w:eastAsia="en-GB"/>
        </w:rPr>
        <w:t>Fostering a more commercial culture:</w:t>
      </w:r>
    </w:p>
    <w:p w14:paraId="18357958" w14:textId="77777777" w:rsidR="00C74952" w:rsidRPr="001E7484" w:rsidRDefault="00C74952" w:rsidP="00C74952">
      <w:pPr>
        <w:widowControl w:val="0"/>
        <w:autoSpaceDE w:val="0"/>
        <w:autoSpaceDN w:val="0"/>
        <w:spacing w:after="60" w:line="240" w:lineRule="auto"/>
        <w:jc w:val="both"/>
        <w:rPr>
          <w:rFonts w:ascii="Arial" w:hAnsi="Arial" w:cs="Arial"/>
          <w:sz w:val="24"/>
          <w:szCs w:val="24"/>
          <w:lang w:eastAsia="en-GB"/>
        </w:rPr>
      </w:pPr>
    </w:p>
    <w:p w14:paraId="567CEB53" w14:textId="77777777" w:rsidR="00C74952" w:rsidRPr="001E7484" w:rsidRDefault="00C74952" w:rsidP="00C74952">
      <w:pPr>
        <w:widowControl w:val="0"/>
        <w:autoSpaceDE w:val="0"/>
        <w:autoSpaceDN w:val="0"/>
        <w:spacing w:after="60" w:line="240" w:lineRule="auto"/>
        <w:jc w:val="both"/>
        <w:rPr>
          <w:rFonts w:ascii="Arial" w:hAnsi="Arial" w:cs="Arial"/>
          <w:sz w:val="24"/>
          <w:szCs w:val="24"/>
          <w:lang w:eastAsia="en-GB"/>
        </w:rPr>
      </w:pPr>
      <w:r w:rsidRPr="001E7484">
        <w:rPr>
          <w:rFonts w:ascii="Arial" w:hAnsi="Arial" w:cs="Arial"/>
          <w:sz w:val="24"/>
          <w:szCs w:val="24"/>
          <w:lang w:eastAsia="en-GB"/>
        </w:rPr>
        <w:t>Summary – It is perceived that things have started to change. The level of maturity in conversations associated with contracts around the organisation and with our suppliers is improving. Further work is still required to embed this in 2020/21.</w:t>
      </w:r>
    </w:p>
    <w:p w14:paraId="115CBE80" w14:textId="77777777" w:rsidR="00C74952" w:rsidRPr="001E7484" w:rsidRDefault="00C74952" w:rsidP="00C74952">
      <w:pPr>
        <w:pStyle w:val="ListParagraph"/>
        <w:widowControl w:val="0"/>
        <w:autoSpaceDE w:val="0"/>
        <w:autoSpaceDN w:val="0"/>
        <w:spacing w:after="60" w:line="240" w:lineRule="auto"/>
        <w:ind w:left="567"/>
        <w:jc w:val="both"/>
        <w:rPr>
          <w:rFonts w:ascii="Arial" w:hAnsi="Arial" w:cs="Arial"/>
          <w:sz w:val="24"/>
          <w:szCs w:val="24"/>
          <w:lang w:eastAsia="en-GB"/>
        </w:rPr>
      </w:pPr>
    </w:p>
    <w:p w14:paraId="2E04E4D5" w14:textId="77777777" w:rsidR="00C74952" w:rsidRPr="001E7484" w:rsidRDefault="00C74952" w:rsidP="001E7484">
      <w:pPr>
        <w:pStyle w:val="ListParagraph"/>
        <w:numPr>
          <w:ilvl w:val="0"/>
          <w:numId w:val="7"/>
        </w:numPr>
        <w:ind w:left="1134" w:hanging="425"/>
        <w:jc w:val="both"/>
        <w:rPr>
          <w:rFonts w:ascii="Arial" w:hAnsi="Arial" w:cs="Arial"/>
          <w:sz w:val="24"/>
          <w:szCs w:val="24"/>
          <w:lang w:eastAsia="en-GB"/>
        </w:rPr>
      </w:pPr>
      <w:r w:rsidRPr="001E7484">
        <w:rPr>
          <w:rFonts w:ascii="Arial" w:hAnsi="Arial" w:cs="Arial"/>
          <w:sz w:val="24"/>
          <w:szCs w:val="24"/>
          <w:lang w:eastAsia="en-GB"/>
        </w:rPr>
        <w:t>Aggregation of spend – Work has been commenced in a number of areas where spend can be aggregated to deliver improved value. Outstations and Shaft Encoders were completed in 2019/20 and a number of other projects have been commenced which are expected to conclude in 2020/21.</w:t>
      </w:r>
    </w:p>
    <w:p w14:paraId="0CCB78ED" w14:textId="77777777" w:rsidR="00C74952" w:rsidRPr="001E7484" w:rsidRDefault="00C74952" w:rsidP="001E7484">
      <w:pPr>
        <w:pStyle w:val="ListParagraph"/>
        <w:numPr>
          <w:ilvl w:val="0"/>
          <w:numId w:val="7"/>
        </w:numPr>
        <w:ind w:left="1134" w:hanging="425"/>
        <w:jc w:val="both"/>
        <w:rPr>
          <w:rFonts w:ascii="Arial" w:hAnsi="Arial" w:cs="Arial"/>
          <w:sz w:val="24"/>
          <w:szCs w:val="24"/>
          <w:lang w:eastAsia="en-GB"/>
        </w:rPr>
      </w:pPr>
      <w:r w:rsidRPr="001E7484">
        <w:rPr>
          <w:rFonts w:ascii="Arial" w:hAnsi="Arial" w:cs="Arial"/>
          <w:sz w:val="24"/>
          <w:szCs w:val="24"/>
          <w:lang w:eastAsia="en-GB"/>
        </w:rPr>
        <w:t xml:space="preserve">Challenge our suppliers – It is now becoming commonplace to challenge our suppliers during contract management, at extension/break points in a contract and on the award of a new contract; asking them to deliver better value to SEPA. This is helping to instil a more commercial culture across the organisation. </w:t>
      </w:r>
    </w:p>
    <w:p w14:paraId="74EAE2C1" w14:textId="77777777" w:rsidR="00C74952" w:rsidRPr="00C65E58" w:rsidRDefault="00C74952" w:rsidP="00C74952">
      <w:pPr>
        <w:pStyle w:val="ListParagraph"/>
        <w:rPr>
          <w:rFonts w:ascii="Arial" w:hAnsi="Arial" w:cs="Arial"/>
          <w:lang w:eastAsia="en-GB"/>
        </w:rPr>
      </w:pPr>
    </w:p>
    <w:p w14:paraId="7209EAF7" w14:textId="77777777" w:rsidR="00C74952" w:rsidRPr="00914B30" w:rsidRDefault="00C74952" w:rsidP="001E7484">
      <w:pPr>
        <w:pStyle w:val="ListParagraph"/>
        <w:widowControl w:val="0"/>
        <w:numPr>
          <w:ilvl w:val="1"/>
          <w:numId w:val="24"/>
        </w:numPr>
        <w:autoSpaceDE w:val="0"/>
        <w:autoSpaceDN w:val="0"/>
        <w:spacing w:after="60" w:line="240" w:lineRule="auto"/>
        <w:ind w:left="567" w:hanging="567"/>
        <w:jc w:val="both"/>
        <w:rPr>
          <w:rFonts w:ascii="Arial" w:hAnsi="Arial" w:cs="Arial"/>
          <w:b/>
          <w:sz w:val="28"/>
          <w:szCs w:val="28"/>
          <w:lang w:eastAsia="en-GB"/>
        </w:rPr>
      </w:pPr>
      <w:r w:rsidRPr="00914B30">
        <w:rPr>
          <w:rFonts w:ascii="Arial" w:hAnsi="Arial" w:cs="Arial"/>
          <w:b/>
          <w:sz w:val="28"/>
          <w:szCs w:val="28"/>
          <w:lang w:eastAsia="en-GB"/>
        </w:rPr>
        <w:t>Supporting the organisation through improvement</w:t>
      </w:r>
    </w:p>
    <w:p w14:paraId="0187F275" w14:textId="77777777" w:rsidR="00C74952" w:rsidRPr="001E7484" w:rsidRDefault="00C74952" w:rsidP="00C74952">
      <w:pPr>
        <w:widowControl w:val="0"/>
        <w:autoSpaceDE w:val="0"/>
        <w:autoSpaceDN w:val="0"/>
        <w:spacing w:after="60" w:line="240" w:lineRule="auto"/>
        <w:jc w:val="both"/>
        <w:rPr>
          <w:rFonts w:ascii="Arial" w:hAnsi="Arial" w:cs="Arial"/>
          <w:sz w:val="24"/>
          <w:szCs w:val="24"/>
          <w:lang w:eastAsia="en-GB"/>
        </w:rPr>
      </w:pPr>
    </w:p>
    <w:p w14:paraId="576D1532" w14:textId="77777777" w:rsidR="00C74952" w:rsidRPr="001E7484" w:rsidRDefault="00C74952" w:rsidP="00C74952">
      <w:pPr>
        <w:widowControl w:val="0"/>
        <w:autoSpaceDE w:val="0"/>
        <w:autoSpaceDN w:val="0"/>
        <w:spacing w:after="60" w:line="240" w:lineRule="auto"/>
        <w:jc w:val="both"/>
        <w:rPr>
          <w:rFonts w:ascii="Arial" w:eastAsia="Times New Roman" w:hAnsi="Arial" w:cs="Arial"/>
          <w:sz w:val="24"/>
          <w:szCs w:val="24"/>
        </w:rPr>
      </w:pPr>
      <w:r w:rsidRPr="001E7484">
        <w:rPr>
          <w:rFonts w:ascii="Arial" w:hAnsi="Arial" w:cs="Arial"/>
          <w:sz w:val="24"/>
          <w:szCs w:val="24"/>
          <w:lang w:eastAsia="en-GB"/>
        </w:rPr>
        <w:t>Summary – Progress against this objective has been limited. This is as a result of more extensive work being required on other objectives than was anticipated. This objective will be a key focus in 2020/21.</w:t>
      </w:r>
    </w:p>
    <w:p w14:paraId="0ED2FCD4" w14:textId="77777777" w:rsidR="00C74952" w:rsidRPr="00C65E58" w:rsidRDefault="00C74952" w:rsidP="00C74952">
      <w:pPr>
        <w:spacing w:after="0" w:line="240" w:lineRule="auto"/>
        <w:jc w:val="both"/>
        <w:rPr>
          <w:rFonts w:ascii="Arial" w:eastAsia="Times New Roman" w:hAnsi="Arial" w:cs="Arial"/>
        </w:rPr>
      </w:pPr>
    </w:p>
    <w:p w14:paraId="4F3A11E7" w14:textId="77777777" w:rsidR="00C74952" w:rsidRPr="00070B35" w:rsidRDefault="00C74952" w:rsidP="00C74952">
      <w:pPr>
        <w:widowControl w:val="0"/>
        <w:autoSpaceDE w:val="0"/>
        <w:autoSpaceDN w:val="0"/>
        <w:spacing w:after="40" w:line="240" w:lineRule="auto"/>
        <w:ind w:left="714"/>
        <w:jc w:val="both"/>
        <w:rPr>
          <w:rFonts w:ascii="Arial" w:eastAsia="Times New Roman" w:hAnsi="Arial" w:cs="Arial"/>
          <w:color w:val="FF0000"/>
          <w:highlight w:val="yellow"/>
          <w:lang w:eastAsia="en-GB"/>
        </w:rPr>
      </w:pPr>
    </w:p>
    <w:p w14:paraId="01CDB04D" w14:textId="77777777" w:rsidR="00C74952" w:rsidRPr="0044785F" w:rsidRDefault="00C74952" w:rsidP="001E7484">
      <w:pPr>
        <w:pStyle w:val="ListParagraph"/>
        <w:numPr>
          <w:ilvl w:val="0"/>
          <w:numId w:val="24"/>
        </w:numPr>
        <w:spacing w:after="0" w:line="240" w:lineRule="auto"/>
        <w:ind w:left="426" w:hanging="142"/>
        <w:rPr>
          <w:rFonts w:ascii="Arial" w:hAnsi="Arial" w:cs="Arial"/>
          <w:b/>
          <w:color w:val="215868" w:themeColor="accent5" w:themeShade="80"/>
          <w:sz w:val="32"/>
          <w:szCs w:val="32"/>
        </w:rPr>
      </w:pPr>
      <w:r w:rsidRPr="0044785F">
        <w:rPr>
          <w:rFonts w:ascii="Arial" w:hAnsi="Arial" w:cs="Arial"/>
          <w:b/>
          <w:color w:val="215868" w:themeColor="accent5" w:themeShade="80"/>
          <w:sz w:val="32"/>
          <w:szCs w:val="32"/>
        </w:rPr>
        <w:t>Organisational spend activity FY 2019 - 20</w:t>
      </w:r>
    </w:p>
    <w:p w14:paraId="4AF1243B" w14:textId="77777777" w:rsidR="00C74952" w:rsidRPr="00070B35" w:rsidRDefault="00C74952" w:rsidP="00C74952">
      <w:pPr>
        <w:overflowPunct w:val="0"/>
        <w:autoSpaceDE w:val="0"/>
        <w:autoSpaceDN w:val="0"/>
        <w:adjustRightInd w:val="0"/>
        <w:spacing w:after="0" w:line="240" w:lineRule="auto"/>
        <w:jc w:val="both"/>
        <w:textAlignment w:val="baseline"/>
        <w:rPr>
          <w:rFonts w:ascii="Arial" w:eastAsia="Times New Roman" w:hAnsi="Arial" w:cs="Arial"/>
          <w:b/>
          <w:color w:val="FF0000"/>
        </w:rPr>
      </w:pPr>
    </w:p>
    <w:p w14:paraId="2007D65C" w14:textId="77777777" w:rsidR="00C74952" w:rsidRPr="00914B30" w:rsidRDefault="00C74952" w:rsidP="00914B30">
      <w:pPr>
        <w:tabs>
          <w:tab w:val="left" w:pos="993"/>
        </w:tabs>
        <w:spacing w:after="0" w:line="240" w:lineRule="auto"/>
        <w:jc w:val="both"/>
        <w:rPr>
          <w:rFonts w:ascii="Arial" w:hAnsi="Arial" w:cs="Arial"/>
          <w:b/>
          <w:sz w:val="28"/>
          <w:szCs w:val="28"/>
        </w:rPr>
      </w:pPr>
      <w:r w:rsidRPr="00914B30">
        <w:rPr>
          <w:rFonts w:ascii="Arial" w:hAnsi="Arial" w:cs="Arial"/>
          <w:b/>
          <w:sz w:val="28"/>
          <w:szCs w:val="28"/>
        </w:rPr>
        <w:t xml:space="preserve">Expenditure by Supplier </w:t>
      </w:r>
    </w:p>
    <w:p w14:paraId="67B7599E" w14:textId="77777777" w:rsidR="00C74952" w:rsidRPr="001E7484" w:rsidRDefault="00C74952" w:rsidP="00C74952">
      <w:pPr>
        <w:tabs>
          <w:tab w:val="left" w:pos="993"/>
        </w:tabs>
        <w:spacing w:after="0" w:line="240" w:lineRule="auto"/>
        <w:jc w:val="both"/>
        <w:rPr>
          <w:rFonts w:ascii="Arial" w:hAnsi="Arial" w:cs="Arial"/>
          <w:b/>
          <w:color w:val="FF0000"/>
          <w:sz w:val="24"/>
          <w:szCs w:val="24"/>
        </w:rPr>
      </w:pPr>
    </w:p>
    <w:p w14:paraId="7FF5E633" w14:textId="77777777" w:rsidR="00C74952" w:rsidRPr="001E7484" w:rsidRDefault="00C74952" w:rsidP="00C74952">
      <w:pPr>
        <w:tabs>
          <w:tab w:val="left" w:pos="993"/>
        </w:tabs>
        <w:spacing w:after="0" w:line="240" w:lineRule="auto"/>
        <w:jc w:val="both"/>
        <w:rPr>
          <w:rFonts w:ascii="Arial" w:hAnsi="Arial" w:cs="Arial"/>
          <w:sz w:val="24"/>
          <w:szCs w:val="24"/>
        </w:rPr>
      </w:pPr>
      <w:r w:rsidRPr="001E7484">
        <w:rPr>
          <w:rFonts w:ascii="Arial" w:hAnsi="Arial" w:cs="Arial"/>
          <w:b/>
          <w:sz w:val="24"/>
          <w:szCs w:val="24"/>
        </w:rPr>
        <w:t>Total spend:</w:t>
      </w:r>
      <w:r w:rsidRPr="001E7484">
        <w:rPr>
          <w:rFonts w:ascii="Arial" w:hAnsi="Arial" w:cs="Arial"/>
          <w:b/>
          <w:sz w:val="24"/>
          <w:szCs w:val="24"/>
        </w:rPr>
        <w:tab/>
      </w:r>
      <w:r w:rsidRPr="001E7484">
        <w:rPr>
          <w:rFonts w:ascii="Arial" w:hAnsi="Arial" w:cs="Arial"/>
          <w:sz w:val="24"/>
          <w:szCs w:val="24"/>
        </w:rPr>
        <w:t>£16,019,599</w:t>
      </w:r>
    </w:p>
    <w:p w14:paraId="178D30A2" w14:textId="77777777" w:rsidR="00C74952" w:rsidRPr="001E7484" w:rsidRDefault="00C74952" w:rsidP="00C74952">
      <w:pPr>
        <w:tabs>
          <w:tab w:val="left" w:pos="993"/>
        </w:tabs>
        <w:spacing w:after="0" w:line="240" w:lineRule="auto"/>
        <w:jc w:val="both"/>
        <w:rPr>
          <w:rFonts w:ascii="Arial" w:hAnsi="Arial" w:cs="Arial"/>
          <w:sz w:val="24"/>
          <w:szCs w:val="24"/>
        </w:rPr>
      </w:pPr>
      <w:r w:rsidRPr="001E7484">
        <w:rPr>
          <w:rFonts w:ascii="Arial" w:hAnsi="Arial" w:cs="Arial"/>
          <w:b/>
          <w:sz w:val="24"/>
          <w:szCs w:val="24"/>
        </w:rPr>
        <w:t>Top 20 suppliers:</w:t>
      </w:r>
      <w:r w:rsidRPr="001E7484">
        <w:rPr>
          <w:rFonts w:ascii="Arial" w:hAnsi="Arial" w:cs="Arial"/>
          <w:sz w:val="24"/>
          <w:szCs w:val="24"/>
        </w:rPr>
        <w:t xml:space="preserve"> £7,147,102 (45% of organisational total expenditure).</w:t>
      </w:r>
    </w:p>
    <w:p w14:paraId="02F9BBA2" w14:textId="77777777" w:rsidR="00C74952" w:rsidRPr="00B5629F" w:rsidRDefault="00C74952" w:rsidP="00C74952">
      <w:pPr>
        <w:spacing w:after="0" w:line="240" w:lineRule="auto"/>
        <w:jc w:val="both"/>
        <w:rPr>
          <w:rFonts w:ascii="Arial" w:hAnsi="Arial" w:cs="Arial"/>
          <w:noProof/>
          <w:color w:val="FF0000"/>
          <w:lang w:eastAsia="en-GB"/>
        </w:rPr>
      </w:pPr>
    </w:p>
    <w:p w14:paraId="419FF577" w14:textId="77777777" w:rsidR="00C74952" w:rsidRPr="00B5629F" w:rsidRDefault="00C74952" w:rsidP="00914B30">
      <w:pPr>
        <w:spacing w:after="0" w:line="240" w:lineRule="auto"/>
        <w:jc w:val="center"/>
        <w:rPr>
          <w:rFonts w:ascii="Arial" w:hAnsi="Arial" w:cs="Arial"/>
          <w:color w:val="FF0000"/>
        </w:rPr>
      </w:pPr>
      <w:r w:rsidRPr="00B5629F">
        <w:rPr>
          <w:rFonts w:ascii="Arial" w:hAnsi="Arial" w:cs="Arial"/>
          <w:noProof/>
          <w:color w:val="FF0000"/>
          <w:lang w:eastAsia="en-GB"/>
        </w:rPr>
        <w:drawing>
          <wp:inline distT="0" distB="0" distL="0" distR="0" wp14:anchorId="37E3DC73" wp14:editId="3B8D0AE8">
            <wp:extent cx="5715868" cy="3375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7269" cy="3376487"/>
                    </a:xfrm>
                    <a:prstGeom prst="rect">
                      <a:avLst/>
                    </a:prstGeom>
                    <a:noFill/>
                  </pic:spPr>
                </pic:pic>
              </a:graphicData>
            </a:graphic>
          </wp:inline>
        </w:drawing>
      </w:r>
    </w:p>
    <w:p w14:paraId="3098B83E" w14:textId="77777777" w:rsidR="00C74952" w:rsidRPr="00B5629F" w:rsidRDefault="00C74952" w:rsidP="00C74952">
      <w:pPr>
        <w:spacing w:after="0" w:line="240" w:lineRule="auto"/>
        <w:jc w:val="both"/>
        <w:rPr>
          <w:rFonts w:ascii="Arial" w:hAnsi="Arial" w:cs="Arial"/>
          <w:b/>
          <w:color w:val="FF0000"/>
        </w:rPr>
      </w:pPr>
    </w:p>
    <w:p w14:paraId="6DE0DD1D" w14:textId="77777777" w:rsidR="00C74952" w:rsidRPr="006802FE" w:rsidRDefault="00C74952" w:rsidP="00C74952">
      <w:pPr>
        <w:spacing w:after="0" w:line="240" w:lineRule="auto"/>
        <w:jc w:val="both"/>
        <w:rPr>
          <w:rFonts w:ascii="Arial" w:hAnsi="Arial" w:cs="Arial"/>
          <w:b/>
          <w:sz w:val="24"/>
          <w:szCs w:val="24"/>
        </w:rPr>
      </w:pPr>
      <w:r w:rsidRPr="006802FE">
        <w:rPr>
          <w:rFonts w:ascii="Arial" w:hAnsi="Arial" w:cs="Arial"/>
          <w:b/>
          <w:sz w:val="24"/>
          <w:szCs w:val="24"/>
        </w:rPr>
        <w:t>Key points</w:t>
      </w:r>
    </w:p>
    <w:p w14:paraId="668FA362" w14:textId="77777777" w:rsidR="00C74952" w:rsidRPr="00B5629F" w:rsidRDefault="00C74952" w:rsidP="00C74952">
      <w:pPr>
        <w:spacing w:after="0" w:line="240" w:lineRule="auto"/>
        <w:jc w:val="both"/>
        <w:rPr>
          <w:rFonts w:ascii="Arial" w:hAnsi="Arial" w:cs="Arial"/>
          <w:b/>
          <w:color w:val="FF0000"/>
        </w:rPr>
      </w:pPr>
    </w:p>
    <w:p w14:paraId="2F7BDE90" w14:textId="77777777" w:rsidR="00C74952" w:rsidRPr="006802FE" w:rsidRDefault="00C74952" w:rsidP="00C74952">
      <w:pPr>
        <w:numPr>
          <w:ilvl w:val="0"/>
          <w:numId w:val="19"/>
        </w:numPr>
        <w:spacing w:after="0" w:line="240" w:lineRule="auto"/>
        <w:jc w:val="both"/>
        <w:rPr>
          <w:rFonts w:ascii="Arial" w:hAnsi="Arial" w:cs="Arial"/>
          <w:sz w:val="24"/>
          <w:szCs w:val="24"/>
        </w:rPr>
      </w:pPr>
      <w:r w:rsidRPr="006802FE">
        <w:rPr>
          <w:rFonts w:ascii="Arial" w:hAnsi="Arial" w:cs="Arial"/>
          <w:sz w:val="24"/>
          <w:szCs w:val="24"/>
        </w:rPr>
        <w:t>Shelborn Asset Management relates to Angus Smith Building rent ((£515,370)</w:t>
      </w:r>
    </w:p>
    <w:p w14:paraId="3E160CBC" w14:textId="77777777" w:rsidR="00C74952" w:rsidRPr="006802FE" w:rsidRDefault="00C74952" w:rsidP="00C74952">
      <w:pPr>
        <w:numPr>
          <w:ilvl w:val="0"/>
          <w:numId w:val="19"/>
        </w:numPr>
        <w:spacing w:after="0" w:line="240" w:lineRule="auto"/>
        <w:jc w:val="both"/>
        <w:rPr>
          <w:rFonts w:ascii="Arial" w:hAnsi="Arial" w:cs="Arial"/>
          <w:sz w:val="24"/>
          <w:szCs w:val="24"/>
        </w:rPr>
      </w:pPr>
      <w:r w:rsidRPr="006802FE">
        <w:rPr>
          <w:rFonts w:ascii="Arial" w:hAnsi="Arial" w:cs="Arial"/>
          <w:sz w:val="24"/>
          <w:szCs w:val="24"/>
        </w:rPr>
        <w:t>BT Global Services relates to the Flood Warning dissemination service (£487,273)</w:t>
      </w:r>
    </w:p>
    <w:p w14:paraId="6EF35AA4" w14:textId="77777777" w:rsidR="00C74952" w:rsidRPr="006802FE" w:rsidRDefault="00C74952" w:rsidP="00C74952">
      <w:pPr>
        <w:numPr>
          <w:ilvl w:val="0"/>
          <w:numId w:val="19"/>
        </w:numPr>
        <w:spacing w:after="0" w:line="240" w:lineRule="auto"/>
        <w:jc w:val="both"/>
        <w:rPr>
          <w:rFonts w:ascii="Arial" w:hAnsi="Arial" w:cs="Arial"/>
          <w:b/>
          <w:sz w:val="24"/>
          <w:szCs w:val="24"/>
        </w:rPr>
      </w:pPr>
      <w:r w:rsidRPr="006802FE">
        <w:rPr>
          <w:rFonts w:ascii="Arial" w:hAnsi="Arial" w:cs="Arial"/>
          <w:sz w:val="24"/>
          <w:szCs w:val="24"/>
        </w:rPr>
        <w:t xml:space="preserve">Forestry and Land Scotland relates to rent and services at Silvan House, Edinburgh (£468,593) </w:t>
      </w:r>
    </w:p>
    <w:p w14:paraId="08E93753" w14:textId="77777777" w:rsidR="00C74952" w:rsidRPr="00B5629F" w:rsidRDefault="00C74952" w:rsidP="00C74952">
      <w:pPr>
        <w:spacing w:after="0" w:line="240" w:lineRule="auto"/>
        <w:jc w:val="both"/>
        <w:rPr>
          <w:rFonts w:ascii="Arial" w:hAnsi="Arial" w:cs="Arial"/>
          <w:b/>
          <w:color w:val="FF0000"/>
        </w:rPr>
      </w:pPr>
    </w:p>
    <w:p w14:paraId="75FC146F" w14:textId="77777777" w:rsidR="00C74952" w:rsidRPr="006802FE" w:rsidRDefault="00C74952" w:rsidP="00C74952">
      <w:pPr>
        <w:spacing w:after="0" w:line="240" w:lineRule="auto"/>
        <w:jc w:val="both"/>
        <w:rPr>
          <w:rFonts w:ascii="Arial" w:hAnsi="Arial" w:cs="Arial"/>
          <w:b/>
          <w:sz w:val="24"/>
          <w:szCs w:val="24"/>
        </w:rPr>
      </w:pPr>
      <w:r w:rsidRPr="006802FE">
        <w:rPr>
          <w:rFonts w:ascii="Arial" w:hAnsi="Arial" w:cs="Arial"/>
          <w:b/>
          <w:sz w:val="24"/>
          <w:szCs w:val="24"/>
        </w:rPr>
        <w:t xml:space="preserve">Commodity expenditure </w:t>
      </w:r>
    </w:p>
    <w:p w14:paraId="62A8E9BF" w14:textId="77777777" w:rsidR="00C74952" w:rsidRPr="006802FE" w:rsidRDefault="00C74952" w:rsidP="00C74952">
      <w:pPr>
        <w:spacing w:after="0" w:line="240" w:lineRule="auto"/>
        <w:jc w:val="both"/>
        <w:rPr>
          <w:rFonts w:ascii="Arial" w:hAnsi="Arial" w:cs="Arial"/>
          <w:b/>
          <w:color w:val="FF0000"/>
          <w:sz w:val="24"/>
          <w:szCs w:val="24"/>
        </w:rPr>
      </w:pPr>
    </w:p>
    <w:p w14:paraId="051C354F" w14:textId="77777777" w:rsidR="00C74952" w:rsidRPr="006802FE" w:rsidRDefault="00C74952" w:rsidP="006802FE">
      <w:pPr>
        <w:spacing w:after="0" w:line="240" w:lineRule="auto"/>
        <w:jc w:val="both"/>
        <w:rPr>
          <w:rFonts w:ascii="Arial" w:hAnsi="Arial" w:cs="Arial"/>
          <w:sz w:val="24"/>
          <w:szCs w:val="24"/>
        </w:rPr>
      </w:pPr>
      <w:r w:rsidRPr="006802FE">
        <w:rPr>
          <w:rFonts w:ascii="Arial" w:hAnsi="Arial" w:cs="Arial"/>
          <w:b/>
          <w:sz w:val="24"/>
          <w:szCs w:val="24"/>
        </w:rPr>
        <w:t>Total spend:</w:t>
      </w:r>
      <w:r w:rsidRPr="006802FE">
        <w:rPr>
          <w:rFonts w:ascii="Arial" w:hAnsi="Arial" w:cs="Arial"/>
          <w:sz w:val="24"/>
          <w:szCs w:val="24"/>
        </w:rPr>
        <w:t xml:space="preserve">  £16,019,599</w:t>
      </w:r>
    </w:p>
    <w:p w14:paraId="2635C0E9" w14:textId="77777777" w:rsidR="00C74952" w:rsidRPr="006802FE" w:rsidRDefault="00C74952" w:rsidP="006802FE">
      <w:pPr>
        <w:spacing w:after="0" w:line="240" w:lineRule="auto"/>
        <w:jc w:val="both"/>
        <w:rPr>
          <w:rFonts w:ascii="Arial" w:hAnsi="Arial" w:cs="Arial"/>
          <w:sz w:val="24"/>
          <w:szCs w:val="24"/>
        </w:rPr>
      </w:pPr>
      <w:r w:rsidRPr="006802FE">
        <w:rPr>
          <w:rFonts w:ascii="Arial" w:hAnsi="Arial" w:cs="Arial"/>
          <w:b/>
          <w:sz w:val="24"/>
          <w:szCs w:val="24"/>
        </w:rPr>
        <w:t>Top 20 commodities:</w:t>
      </w:r>
      <w:r w:rsidRPr="006802FE">
        <w:rPr>
          <w:rFonts w:ascii="Arial" w:hAnsi="Arial" w:cs="Arial"/>
          <w:sz w:val="24"/>
          <w:szCs w:val="24"/>
        </w:rPr>
        <w:t xml:space="preserve">  £12,434,561 (78% of all spend)</w:t>
      </w:r>
    </w:p>
    <w:p w14:paraId="773680BC" w14:textId="77777777" w:rsidR="00C74952" w:rsidRPr="00B5629F" w:rsidRDefault="00C74952" w:rsidP="00C74952">
      <w:pPr>
        <w:spacing w:after="0" w:line="240" w:lineRule="auto"/>
        <w:ind w:left="284"/>
        <w:jc w:val="both"/>
        <w:rPr>
          <w:rFonts w:ascii="Arial" w:hAnsi="Arial" w:cs="Arial"/>
          <w:color w:val="FF0000"/>
        </w:rPr>
      </w:pPr>
    </w:p>
    <w:p w14:paraId="00F5A130" w14:textId="77777777" w:rsidR="00C74952" w:rsidRPr="00B5629F" w:rsidRDefault="00C74952" w:rsidP="00C74952">
      <w:pPr>
        <w:spacing w:after="0" w:line="240" w:lineRule="auto"/>
        <w:jc w:val="both"/>
        <w:rPr>
          <w:rFonts w:ascii="Arial" w:hAnsi="Arial" w:cs="Arial"/>
          <w:b/>
          <w:color w:val="FF0000"/>
        </w:rPr>
      </w:pPr>
      <w:r w:rsidRPr="00B5629F">
        <w:rPr>
          <w:rFonts w:ascii="Arial" w:hAnsi="Arial" w:cs="Arial"/>
          <w:b/>
          <w:noProof/>
          <w:color w:val="FF0000"/>
          <w:lang w:eastAsia="en-GB"/>
        </w:rPr>
        <w:drawing>
          <wp:inline distT="0" distB="0" distL="0" distR="0" wp14:anchorId="2CE84C09" wp14:editId="66B9C25E">
            <wp:extent cx="6097855" cy="31394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98440" cy="3139741"/>
                    </a:xfrm>
                    <a:prstGeom prst="rect">
                      <a:avLst/>
                    </a:prstGeom>
                    <a:noFill/>
                  </pic:spPr>
                </pic:pic>
              </a:graphicData>
            </a:graphic>
          </wp:inline>
        </w:drawing>
      </w:r>
    </w:p>
    <w:p w14:paraId="1F0B07E3" w14:textId="6D350204" w:rsidR="00C74952" w:rsidRPr="006802FE" w:rsidRDefault="00C74952" w:rsidP="00C74952">
      <w:pPr>
        <w:spacing w:after="0" w:line="240" w:lineRule="auto"/>
        <w:jc w:val="both"/>
        <w:rPr>
          <w:rFonts w:ascii="Arial" w:hAnsi="Arial" w:cs="Arial"/>
          <w:b/>
          <w:sz w:val="24"/>
          <w:szCs w:val="24"/>
        </w:rPr>
      </w:pPr>
      <w:r w:rsidRPr="006802FE">
        <w:rPr>
          <w:rFonts w:ascii="Arial" w:hAnsi="Arial" w:cs="Arial"/>
          <w:b/>
          <w:sz w:val="24"/>
          <w:szCs w:val="24"/>
        </w:rPr>
        <w:lastRenderedPageBreak/>
        <w:t>Key point</w:t>
      </w:r>
    </w:p>
    <w:p w14:paraId="053A56F3" w14:textId="77777777" w:rsidR="00C74952" w:rsidRPr="006802FE" w:rsidRDefault="00C74952" w:rsidP="00C74952">
      <w:pPr>
        <w:spacing w:after="0" w:line="240" w:lineRule="auto"/>
        <w:jc w:val="both"/>
        <w:rPr>
          <w:rFonts w:ascii="Arial" w:hAnsi="Arial" w:cs="Arial"/>
          <w:b/>
          <w:color w:val="FF0000"/>
          <w:sz w:val="24"/>
          <w:szCs w:val="24"/>
        </w:rPr>
      </w:pPr>
    </w:p>
    <w:p w14:paraId="2A2666B2" w14:textId="77777777" w:rsidR="00C74952" w:rsidRPr="006802FE" w:rsidRDefault="00C74952" w:rsidP="00C74952">
      <w:pPr>
        <w:spacing w:after="0" w:line="240" w:lineRule="auto"/>
        <w:jc w:val="both"/>
        <w:rPr>
          <w:rFonts w:ascii="Arial" w:hAnsi="Arial" w:cs="Arial"/>
          <w:b/>
          <w:sz w:val="24"/>
          <w:szCs w:val="24"/>
        </w:rPr>
      </w:pPr>
      <w:r w:rsidRPr="006802FE">
        <w:rPr>
          <w:rFonts w:ascii="Arial" w:hAnsi="Arial" w:cs="Arial"/>
          <w:sz w:val="24"/>
          <w:szCs w:val="24"/>
        </w:rPr>
        <w:t>Overall highest expenditure relates to Rent. The top 10 companies to which this expenditure is attributed are provided below.</w:t>
      </w:r>
    </w:p>
    <w:p w14:paraId="1E3E79E8" w14:textId="77777777" w:rsidR="00C74952" w:rsidRPr="00B5629F" w:rsidRDefault="00C74952" w:rsidP="00C74952">
      <w:pPr>
        <w:spacing w:after="0" w:line="240" w:lineRule="auto"/>
        <w:jc w:val="both"/>
        <w:rPr>
          <w:rFonts w:ascii="Arial" w:hAnsi="Arial" w:cs="Arial"/>
          <w:b/>
          <w:color w:val="FF0000"/>
        </w:rPr>
      </w:pPr>
    </w:p>
    <w:p w14:paraId="5DD77872" w14:textId="77777777" w:rsidR="00C74952" w:rsidRPr="00B5629F" w:rsidRDefault="00C74952" w:rsidP="00C74952">
      <w:pPr>
        <w:spacing w:after="0" w:line="240" w:lineRule="auto"/>
        <w:jc w:val="both"/>
        <w:rPr>
          <w:rFonts w:ascii="Arial" w:hAnsi="Arial" w:cs="Arial"/>
          <w:b/>
          <w:color w:val="FF0000"/>
          <w:sz w:val="20"/>
          <w:szCs w:val="20"/>
        </w:rPr>
      </w:pPr>
      <w:r w:rsidRPr="00B5629F">
        <w:rPr>
          <w:rFonts w:ascii="Arial" w:hAnsi="Arial" w:cs="Arial"/>
          <w:b/>
          <w:noProof/>
          <w:color w:val="FF0000"/>
          <w:sz w:val="20"/>
          <w:szCs w:val="20"/>
          <w:lang w:eastAsia="en-GB"/>
        </w:rPr>
        <w:drawing>
          <wp:inline distT="0" distB="0" distL="0" distR="0" wp14:anchorId="7F628CD3" wp14:editId="02C18473">
            <wp:extent cx="5957810" cy="3025140"/>
            <wp:effectExtent l="0" t="0" r="508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62949" cy="3027749"/>
                    </a:xfrm>
                    <a:prstGeom prst="rect">
                      <a:avLst/>
                    </a:prstGeom>
                    <a:noFill/>
                  </pic:spPr>
                </pic:pic>
              </a:graphicData>
            </a:graphic>
          </wp:inline>
        </w:drawing>
      </w:r>
    </w:p>
    <w:p w14:paraId="2E348BFA" w14:textId="77777777" w:rsidR="00C74952" w:rsidRPr="00B5629F" w:rsidRDefault="00C74952" w:rsidP="00C74952">
      <w:pPr>
        <w:spacing w:after="0" w:line="240" w:lineRule="auto"/>
        <w:jc w:val="both"/>
        <w:rPr>
          <w:rFonts w:ascii="Arial" w:hAnsi="Arial" w:cs="Arial"/>
          <w:b/>
          <w:color w:val="FF0000"/>
        </w:rPr>
      </w:pPr>
    </w:p>
    <w:p w14:paraId="30EAB224" w14:textId="77777777" w:rsidR="00C74952" w:rsidRPr="006802FE" w:rsidRDefault="00C74952" w:rsidP="00C74952">
      <w:pPr>
        <w:spacing w:after="0" w:line="240" w:lineRule="auto"/>
        <w:jc w:val="both"/>
        <w:rPr>
          <w:rFonts w:ascii="Arial" w:hAnsi="Arial" w:cs="Arial"/>
          <w:b/>
          <w:sz w:val="24"/>
          <w:szCs w:val="24"/>
        </w:rPr>
      </w:pPr>
      <w:r w:rsidRPr="006802FE">
        <w:rPr>
          <w:rFonts w:ascii="Arial" w:hAnsi="Arial" w:cs="Arial"/>
          <w:b/>
          <w:sz w:val="24"/>
          <w:szCs w:val="24"/>
        </w:rPr>
        <w:t>May 2020</w:t>
      </w:r>
    </w:p>
    <w:p w14:paraId="36C0CB06" w14:textId="77777777" w:rsidR="00C74952" w:rsidRPr="006802FE" w:rsidRDefault="00C74952" w:rsidP="00C74952">
      <w:pPr>
        <w:spacing w:after="0" w:line="240" w:lineRule="auto"/>
        <w:jc w:val="both"/>
        <w:rPr>
          <w:rFonts w:ascii="Arial" w:hAnsi="Arial" w:cs="Arial"/>
          <w:b/>
          <w:color w:val="FF0000"/>
          <w:sz w:val="24"/>
          <w:szCs w:val="24"/>
        </w:rPr>
      </w:pPr>
    </w:p>
    <w:p w14:paraId="1D3964A5" w14:textId="77777777" w:rsidR="00C74952" w:rsidRPr="006802FE" w:rsidRDefault="00C74952" w:rsidP="00C74952">
      <w:pPr>
        <w:spacing w:after="0" w:line="240" w:lineRule="auto"/>
        <w:jc w:val="both"/>
        <w:rPr>
          <w:rFonts w:ascii="Arial" w:hAnsi="Arial" w:cs="Arial"/>
          <w:b/>
          <w:sz w:val="24"/>
          <w:szCs w:val="24"/>
        </w:rPr>
      </w:pPr>
      <w:r w:rsidRPr="006802FE">
        <w:rPr>
          <w:rFonts w:ascii="Arial" w:hAnsi="Arial" w:cs="Arial"/>
          <w:b/>
          <w:sz w:val="24"/>
          <w:szCs w:val="24"/>
        </w:rPr>
        <w:t>Stuart McGregor</w:t>
      </w:r>
      <w:r w:rsidRPr="006802FE">
        <w:rPr>
          <w:rFonts w:ascii="Arial" w:hAnsi="Arial" w:cs="Arial"/>
          <w:b/>
          <w:sz w:val="24"/>
          <w:szCs w:val="24"/>
        </w:rPr>
        <w:tab/>
      </w:r>
      <w:r w:rsidRPr="006802FE">
        <w:rPr>
          <w:rFonts w:ascii="Arial" w:hAnsi="Arial" w:cs="Arial"/>
          <w:b/>
          <w:sz w:val="24"/>
          <w:szCs w:val="24"/>
        </w:rPr>
        <w:tab/>
      </w:r>
      <w:r w:rsidRPr="006802FE">
        <w:rPr>
          <w:rFonts w:ascii="Arial" w:hAnsi="Arial" w:cs="Arial"/>
          <w:b/>
          <w:sz w:val="24"/>
          <w:szCs w:val="24"/>
        </w:rPr>
        <w:tab/>
      </w:r>
      <w:r w:rsidRPr="006802FE">
        <w:rPr>
          <w:rFonts w:ascii="Arial" w:hAnsi="Arial" w:cs="Arial"/>
          <w:b/>
          <w:sz w:val="24"/>
          <w:szCs w:val="24"/>
        </w:rPr>
        <w:tab/>
      </w:r>
      <w:r w:rsidRPr="006802FE">
        <w:rPr>
          <w:rFonts w:ascii="Arial" w:hAnsi="Arial" w:cs="Arial"/>
          <w:b/>
          <w:sz w:val="24"/>
          <w:szCs w:val="24"/>
        </w:rPr>
        <w:tab/>
      </w:r>
      <w:r w:rsidRPr="006802FE">
        <w:rPr>
          <w:rFonts w:ascii="Arial" w:hAnsi="Arial" w:cs="Arial"/>
          <w:b/>
          <w:sz w:val="24"/>
          <w:szCs w:val="24"/>
        </w:rPr>
        <w:tab/>
      </w:r>
    </w:p>
    <w:p w14:paraId="3DD6E203" w14:textId="77777777" w:rsidR="00C74952" w:rsidRPr="006802FE" w:rsidRDefault="00C74952" w:rsidP="00C74952">
      <w:pPr>
        <w:spacing w:after="0" w:line="240" w:lineRule="auto"/>
        <w:jc w:val="both"/>
        <w:rPr>
          <w:rFonts w:ascii="Arial" w:hAnsi="Arial" w:cs="Arial"/>
          <w:b/>
          <w:sz w:val="24"/>
          <w:szCs w:val="24"/>
        </w:rPr>
      </w:pPr>
      <w:r w:rsidRPr="006802FE">
        <w:rPr>
          <w:rFonts w:ascii="Arial" w:hAnsi="Arial" w:cs="Arial"/>
          <w:b/>
          <w:sz w:val="24"/>
          <w:szCs w:val="24"/>
        </w:rPr>
        <w:t>SEPA</w:t>
      </w:r>
    </w:p>
    <w:p w14:paraId="77A95F48" w14:textId="77777777" w:rsidR="00C74952" w:rsidRPr="006802FE" w:rsidRDefault="00C74952" w:rsidP="00C74952">
      <w:pPr>
        <w:spacing w:after="0" w:line="240" w:lineRule="auto"/>
        <w:jc w:val="both"/>
        <w:rPr>
          <w:rFonts w:ascii="Arial" w:hAnsi="Arial" w:cs="Arial"/>
          <w:b/>
          <w:sz w:val="24"/>
          <w:szCs w:val="24"/>
        </w:rPr>
      </w:pPr>
      <w:r w:rsidRPr="006802FE">
        <w:rPr>
          <w:rFonts w:ascii="Arial" w:hAnsi="Arial" w:cs="Arial"/>
          <w:b/>
          <w:sz w:val="24"/>
          <w:szCs w:val="24"/>
        </w:rPr>
        <w:t>Chief Officer Finance</w:t>
      </w:r>
    </w:p>
    <w:p w14:paraId="37B95753" w14:textId="77777777" w:rsidR="00C74952" w:rsidRPr="006802FE" w:rsidRDefault="00C74952" w:rsidP="00C74952">
      <w:pPr>
        <w:spacing w:after="0" w:line="240" w:lineRule="auto"/>
        <w:jc w:val="both"/>
        <w:rPr>
          <w:rFonts w:ascii="Arial" w:hAnsi="Arial" w:cs="Arial"/>
          <w:b/>
          <w:sz w:val="24"/>
          <w:szCs w:val="24"/>
        </w:rPr>
      </w:pPr>
      <w:r w:rsidRPr="006802FE">
        <w:rPr>
          <w:rFonts w:ascii="Arial" w:hAnsi="Arial" w:cs="Arial"/>
          <w:b/>
          <w:sz w:val="24"/>
          <w:szCs w:val="24"/>
        </w:rPr>
        <w:t>Strathallan House</w:t>
      </w:r>
    </w:p>
    <w:p w14:paraId="5C57E2E4" w14:textId="77777777" w:rsidR="00C74952" w:rsidRPr="006802FE" w:rsidRDefault="00C74952" w:rsidP="00C74952">
      <w:pPr>
        <w:spacing w:after="0" w:line="240" w:lineRule="auto"/>
        <w:jc w:val="both"/>
        <w:rPr>
          <w:rFonts w:ascii="Arial" w:hAnsi="Arial" w:cs="Arial"/>
          <w:b/>
          <w:sz w:val="24"/>
          <w:szCs w:val="24"/>
        </w:rPr>
      </w:pPr>
      <w:r w:rsidRPr="006802FE">
        <w:rPr>
          <w:rFonts w:ascii="Arial" w:hAnsi="Arial" w:cs="Arial"/>
          <w:b/>
          <w:sz w:val="24"/>
          <w:szCs w:val="24"/>
        </w:rPr>
        <w:t>Castle Business Park</w:t>
      </w:r>
    </w:p>
    <w:p w14:paraId="32A83991" w14:textId="77777777" w:rsidR="00C74952" w:rsidRPr="006802FE" w:rsidRDefault="00C74952" w:rsidP="00C74952">
      <w:pPr>
        <w:spacing w:after="0" w:line="240" w:lineRule="auto"/>
        <w:jc w:val="both"/>
        <w:rPr>
          <w:rFonts w:ascii="Arial" w:hAnsi="Arial" w:cs="Arial"/>
          <w:b/>
          <w:sz w:val="24"/>
          <w:szCs w:val="24"/>
        </w:rPr>
      </w:pPr>
      <w:r w:rsidRPr="006802FE">
        <w:rPr>
          <w:rFonts w:ascii="Arial" w:hAnsi="Arial" w:cs="Arial"/>
          <w:b/>
          <w:sz w:val="24"/>
          <w:szCs w:val="24"/>
        </w:rPr>
        <w:t>Stirling</w:t>
      </w:r>
    </w:p>
    <w:p w14:paraId="7AB5495D" w14:textId="77777777" w:rsidR="00C74952" w:rsidRPr="006802FE" w:rsidRDefault="00C74952" w:rsidP="00C74952">
      <w:pPr>
        <w:spacing w:after="0" w:line="240" w:lineRule="auto"/>
        <w:jc w:val="both"/>
        <w:rPr>
          <w:rFonts w:ascii="Arial" w:hAnsi="Arial" w:cs="Arial"/>
          <w:b/>
          <w:sz w:val="24"/>
          <w:szCs w:val="24"/>
        </w:rPr>
      </w:pPr>
      <w:r w:rsidRPr="006802FE">
        <w:rPr>
          <w:rFonts w:ascii="Arial" w:hAnsi="Arial" w:cs="Arial"/>
          <w:b/>
          <w:sz w:val="24"/>
          <w:szCs w:val="24"/>
        </w:rPr>
        <w:t>FK9 4TZ</w:t>
      </w:r>
      <w:r w:rsidRPr="006802FE">
        <w:rPr>
          <w:rFonts w:ascii="Arial" w:hAnsi="Arial" w:cs="Arial"/>
          <w:b/>
          <w:sz w:val="24"/>
          <w:szCs w:val="24"/>
        </w:rPr>
        <w:tab/>
      </w:r>
      <w:r w:rsidRPr="006802FE">
        <w:rPr>
          <w:rFonts w:ascii="Arial" w:hAnsi="Arial" w:cs="Arial"/>
          <w:b/>
          <w:sz w:val="24"/>
          <w:szCs w:val="24"/>
        </w:rPr>
        <w:tab/>
      </w:r>
      <w:r w:rsidRPr="006802FE">
        <w:rPr>
          <w:rFonts w:ascii="Arial" w:hAnsi="Arial" w:cs="Arial"/>
          <w:b/>
          <w:sz w:val="24"/>
          <w:szCs w:val="24"/>
        </w:rPr>
        <w:tab/>
      </w:r>
      <w:r w:rsidRPr="006802FE">
        <w:rPr>
          <w:rFonts w:ascii="Arial" w:hAnsi="Arial" w:cs="Arial"/>
          <w:b/>
          <w:sz w:val="24"/>
          <w:szCs w:val="24"/>
        </w:rPr>
        <w:tab/>
      </w:r>
      <w:r w:rsidRPr="006802FE">
        <w:rPr>
          <w:rFonts w:ascii="Arial" w:hAnsi="Arial" w:cs="Arial"/>
          <w:b/>
          <w:sz w:val="24"/>
          <w:szCs w:val="24"/>
        </w:rPr>
        <w:tab/>
      </w:r>
      <w:r w:rsidRPr="006802FE">
        <w:rPr>
          <w:rFonts w:ascii="Arial" w:hAnsi="Arial" w:cs="Arial"/>
          <w:b/>
          <w:sz w:val="24"/>
          <w:szCs w:val="24"/>
        </w:rPr>
        <w:tab/>
      </w:r>
      <w:r w:rsidRPr="006802FE">
        <w:rPr>
          <w:rFonts w:ascii="Arial" w:hAnsi="Arial" w:cs="Arial"/>
          <w:b/>
          <w:sz w:val="24"/>
          <w:szCs w:val="24"/>
        </w:rPr>
        <w:tab/>
      </w:r>
    </w:p>
    <w:p w14:paraId="17CC5EE3" w14:textId="77777777" w:rsidR="00C74952" w:rsidRPr="006802FE" w:rsidRDefault="00C74952" w:rsidP="00C74952">
      <w:pPr>
        <w:spacing w:after="0" w:line="240" w:lineRule="auto"/>
        <w:jc w:val="both"/>
        <w:rPr>
          <w:rFonts w:ascii="Arial" w:hAnsi="Arial" w:cs="Arial"/>
          <w:b/>
          <w:sz w:val="24"/>
          <w:szCs w:val="24"/>
        </w:rPr>
      </w:pPr>
    </w:p>
    <w:p w14:paraId="1660E5BC" w14:textId="77777777" w:rsidR="00C74952" w:rsidRPr="006802FE" w:rsidRDefault="00C74952" w:rsidP="00C74952">
      <w:pPr>
        <w:spacing w:after="0" w:line="240" w:lineRule="auto"/>
        <w:jc w:val="both"/>
        <w:rPr>
          <w:rFonts w:ascii="Arial" w:hAnsi="Arial" w:cs="Arial"/>
          <w:b/>
          <w:sz w:val="24"/>
          <w:szCs w:val="24"/>
        </w:rPr>
      </w:pPr>
      <w:r w:rsidRPr="006802FE">
        <w:rPr>
          <w:rFonts w:ascii="Arial" w:hAnsi="Arial" w:cs="Arial"/>
          <w:b/>
          <w:sz w:val="24"/>
          <w:szCs w:val="24"/>
        </w:rPr>
        <w:t>Telephone: 01786 452440</w:t>
      </w:r>
      <w:r w:rsidRPr="006802FE">
        <w:rPr>
          <w:rFonts w:ascii="Arial" w:hAnsi="Arial" w:cs="Arial"/>
          <w:b/>
          <w:sz w:val="24"/>
          <w:szCs w:val="24"/>
        </w:rPr>
        <w:tab/>
      </w:r>
      <w:r w:rsidRPr="006802FE">
        <w:rPr>
          <w:rFonts w:ascii="Arial" w:hAnsi="Arial" w:cs="Arial"/>
          <w:b/>
          <w:sz w:val="24"/>
          <w:szCs w:val="24"/>
        </w:rPr>
        <w:tab/>
      </w:r>
    </w:p>
    <w:p w14:paraId="1E5A2AC6" w14:textId="77777777" w:rsidR="00C74952" w:rsidRPr="00070B35" w:rsidRDefault="00C74952" w:rsidP="00C74952">
      <w:pPr>
        <w:spacing w:after="0" w:line="240" w:lineRule="auto"/>
        <w:jc w:val="both"/>
        <w:rPr>
          <w:rFonts w:ascii="Arial" w:hAnsi="Arial" w:cs="Arial"/>
          <w:b/>
          <w:color w:val="FF0000"/>
        </w:rPr>
      </w:pPr>
    </w:p>
    <w:p w14:paraId="0427C0BB" w14:textId="77777777" w:rsidR="00C74952" w:rsidRPr="00070B35" w:rsidRDefault="00C74952" w:rsidP="00C74952">
      <w:pPr>
        <w:spacing w:after="0" w:line="240" w:lineRule="auto"/>
        <w:rPr>
          <w:rFonts w:ascii="Arial" w:hAnsi="Arial" w:cs="Arial"/>
          <w:color w:val="FF0000"/>
          <w:sz w:val="24"/>
          <w:szCs w:val="24"/>
        </w:rPr>
      </w:pPr>
      <w:r w:rsidRPr="00070B35">
        <w:rPr>
          <w:rFonts w:ascii="Arial" w:hAnsi="Arial" w:cs="Arial"/>
          <w:color w:val="FF0000"/>
          <w:sz w:val="24"/>
          <w:szCs w:val="24"/>
        </w:rPr>
        <w:br w:type="page"/>
      </w:r>
    </w:p>
    <w:p w14:paraId="2C5F9764" w14:textId="77777777" w:rsidR="00C74952" w:rsidRPr="006802FE" w:rsidRDefault="00C74952" w:rsidP="00EC01D7">
      <w:pPr>
        <w:spacing w:after="0" w:line="240" w:lineRule="auto"/>
        <w:rPr>
          <w:b/>
          <w:color w:val="000000" w:themeColor="text1"/>
          <w:sz w:val="24"/>
          <w:szCs w:val="24"/>
        </w:rPr>
      </w:pPr>
      <w:r w:rsidRPr="006802FE">
        <w:rPr>
          <w:rFonts w:ascii="Arial" w:hAnsi="Arial" w:cs="Arial"/>
          <w:b/>
          <w:color w:val="000000" w:themeColor="text1"/>
          <w:sz w:val="24"/>
          <w:szCs w:val="24"/>
        </w:rPr>
        <w:lastRenderedPageBreak/>
        <w:t>Contracts Awarded in FY19/20</w:t>
      </w:r>
    </w:p>
    <w:p w14:paraId="6A3F94D8" w14:textId="77777777" w:rsidR="00C74952" w:rsidRPr="006802FE" w:rsidRDefault="00C74952" w:rsidP="00C74952">
      <w:pPr>
        <w:spacing w:after="0" w:line="240" w:lineRule="auto"/>
        <w:ind w:left="-142"/>
        <w:rPr>
          <w:rFonts w:ascii="Arial" w:hAnsi="Arial" w:cs="Arial"/>
          <w:b/>
          <w:color w:val="FF0000"/>
          <w:sz w:val="24"/>
          <w:szCs w:val="24"/>
        </w:rPr>
      </w:pPr>
    </w:p>
    <w:p w14:paraId="243E012E" w14:textId="77777777" w:rsidR="00C74952" w:rsidRPr="006802FE" w:rsidRDefault="00C74952" w:rsidP="00EC01D7">
      <w:pPr>
        <w:spacing w:after="0" w:line="240" w:lineRule="auto"/>
        <w:rPr>
          <w:rFonts w:ascii="Arial" w:hAnsi="Arial" w:cs="Arial"/>
          <w:b/>
          <w:color w:val="000000" w:themeColor="text1"/>
          <w:sz w:val="24"/>
          <w:szCs w:val="24"/>
        </w:rPr>
      </w:pPr>
      <w:r w:rsidRPr="006802FE">
        <w:rPr>
          <w:rFonts w:ascii="Arial" w:hAnsi="Arial" w:cs="Arial"/>
          <w:b/>
          <w:color w:val="000000" w:themeColor="text1"/>
          <w:sz w:val="24"/>
          <w:szCs w:val="24"/>
        </w:rPr>
        <w:t>Compliance and Beyond</w:t>
      </w:r>
    </w:p>
    <w:p w14:paraId="79C00BF6" w14:textId="77777777" w:rsidR="00C74952" w:rsidRPr="00070B35" w:rsidRDefault="00C74952" w:rsidP="00C74952">
      <w:pPr>
        <w:spacing w:after="0" w:line="240" w:lineRule="auto"/>
        <w:ind w:left="-142"/>
        <w:rPr>
          <w:rFonts w:ascii="Arial" w:hAnsi="Arial" w:cs="Arial"/>
          <w:b/>
          <w:color w:val="FF0000"/>
        </w:rPr>
      </w:pPr>
    </w:p>
    <w:tbl>
      <w:tblPr>
        <w:tblStyle w:val="TableGrid"/>
        <w:tblW w:w="10486" w:type="dxa"/>
        <w:tblLook w:val="04A0" w:firstRow="1" w:lastRow="0" w:firstColumn="1" w:lastColumn="0" w:noHBand="0" w:noVBand="1"/>
      </w:tblPr>
      <w:tblGrid>
        <w:gridCol w:w="5098"/>
        <w:gridCol w:w="1418"/>
        <w:gridCol w:w="992"/>
        <w:gridCol w:w="1559"/>
        <w:gridCol w:w="1419"/>
      </w:tblGrid>
      <w:tr w:rsidR="00C74952" w:rsidRPr="006802FE" w14:paraId="3B2E8B47" w14:textId="77777777" w:rsidTr="006802FE">
        <w:trPr>
          <w:trHeight w:val="528"/>
        </w:trPr>
        <w:tc>
          <w:tcPr>
            <w:tcW w:w="5098" w:type="dxa"/>
            <w:shd w:val="clear" w:color="auto" w:fill="BFBFBF" w:themeFill="background1" w:themeFillShade="BF"/>
            <w:hideMark/>
          </w:tcPr>
          <w:p w14:paraId="5797DCCB" w14:textId="77777777" w:rsidR="00C74952" w:rsidRPr="006802FE" w:rsidRDefault="00C74952" w:rsidP="002F24A3">
            <w:pPr>
              <w:spacing w:after="0" w:line="240" w:lineRule="auto"/>
              <w:ind w:left="34"/>
              <w:rPr>
                <w:rFonts w:ascii="Arial" w:hAnsi="Arial" w:cs="Arial"/>
                <w:b/>
                <w:bCs/>
                <w:color w:val="000000" w:themeColor="text1"/>
                <w:sz w:val="24"/>
                <w:szCs w:val="24"/>
              </w:rPr>
            </w:pPr>
            <w:r w:rsidRPr="006802FE">
              <w:rPr>
                <w:rFonts w:ascii="Arial" w:hAnsi="Arial" w:cs="Arial"/>
                <w:b/>
                <w:bCs/>
                <w:color w:val="000000" w:themeColor="text1"/>
                <w:sz w:val="24"/>
                <w:szCs w:val="24"/>
              </w:rPr>
              <w:t>Description</w:t>
            </w:r>
          </w:p>
        </w:tc>
        <w:tc>
          <w:tcPr>
            <w:tcW w:w="1418" w:type="dxa"/>
            <w:shd w:val="clear" w:color="auto" w:fill="BFBFBF" w:themeFill="background1" w:themeFillShade="BF"/>
            <w:hideMark/>
          </w:tcPr>
          <w:p w14:paraId="77FE3E78" w14:textId="77777777" w:rsidR="00C74952" w:rsidRPr="006802FE" w:rsidRDefault="00C74952" w:rsidP="002F24A3">
            <w:pPr>
              <w:spacing w:after="0" w:line="240" w:lineRule="auto"/>
              <w:ind w:left="-142"/>
              <w:jc w:val="center"/>
              <w:rPr>
                <w:rFonts w:ascii="Arial" w:hAnsi="Arial" w:cs="Arial"/>
                <w:b/>
                <w:bCs/>
                <w:color w:val="000000" w:themeColor="text1"/>
                <w:sz w:val="24"/>
                <w:szCs w:val="24"/>
              </w:rPr>
            </w:pPr>
            <w:r w:rsidRPr="006802FE">
              <w:rPr>
                <w:rFonts w:ascii="Arial" w:hAnsi="Arial" w:cs="Arial"/>
                <w:b/>
                <w:bCs/>
                <w:color w:val="000000" w:themeColor="text1"/>
                <w:sz w:val="24"/>
                <w:szCs w:val="24"/>
              </w:rPr>
              <w:t>Date To</w:t>
            </w:r>
          </w:p>
        </w:tc>
        <w:tc>
          <w:tcPr>
            <w:tcW w:w="992" w:type="dxa"/>
            <w:shd w:val="clear" w:color="auto" w:fill="BFBFBF" w:themeFill="background1" w:themeFillShade="BF"/>
            <w:hideMark/>
          </w:tcPr>
          <w:p w14:paraId="6FAF82EB" w14:textId="77777777" w:rsidR="00C74952" w:rsidRPr="006802FE" w:rsidRDefault="00C74952" w:rsidP="002F24A3">
            <w:pPr>
              <w:spacing w:after="0" w:line="240" w:lineRule="auto"/>
              <w:ind w:left="-142"/>
              <w:jc w:val="center"/>
              <w:rPr>
                <w:rFonts w:ascii="Arial" w:hAnsi="Arial" w:cs="Arial"/>
                <w:b/>
                <w:bCs/>
                <w:color w:val="000000" w:themeColor="text1"/>
                <w:sz w:val="24"/>
                <w:szCs w:val="24"/>
              </w:rPr>
            </w:pPr>
            <w:r w:rsidRPr="006802FE">
              <w:rPr>
                <w:rFonts w:ascii="Arial" w:hAnsi="Arial" w:cs="Arial"/>
                <w:b/>
                <w:bCs/>
                <w:color w:val="000000" w:themeColor="text1"/>
                <w:sz w:val="24"/>
                <w:szCs w:val="24"/>
              </w:rPr>
              <w:t>Ext (Mths)</w:t>
            </w:r>
          </w:p>
        </w:tc>
        <w:tc>
          <w:tcPr>
            <w:tcW w:w="1559" w:type="dxa"/>
            <w:shd w:val="clear" w:color="auto" w:fill="BFBFBF" w:themeFill="background1" w:themeFillShade="BF"/>
            <w:hideMark/>
          </w:tcPr>
          <w:p w14:paraId="3B3E5EFE" w14:textId="77777777" w:rsidR="00C74952" w:rsidRPr="006802FE" w:rsidRDefault="00C74952" w:rsidP="002F24A3">
            <w:pPr>
              <w:spacing w:after="0" w:line="240" w:lineRule="auto"/>
              <w:ind w:left="-142"/>
              <w:jc w:val="center"/>
              <w:rPr>
                <w:rFonts w:ascii="Arial" w:hAnsi="Arial" w:cs="Arial"/>
                <w:b/>
                <w:bCs/>
                <w:color w:val="000000" w:themeColor="text1"/>
                <w:sz w:val="24"/>
                <w:szCs w:val="24"/>
              </w:rPr>
            </w:pPr>
            <w:r w:rsidRPr="006802FE">
              <w:rPr>
                <w:rFonts w:ascii="Arial" w:hAnsi="Arial" w:cs="Arial"/>
                <w:b/>
                <w:bCs/>
                <w:color w:val="000000" w:themeColor="text1"/>
                <w:sz w:val="24"/>
                <w:szCs w:val="24"/>
              </w:rPr>
              <w:t>Review Date</w:t>
            </w:r>
          </w:p>
        </w:tc>
        <w:tc>
          <w:tcPr>
            <w:tcW w:w="1419" w:type="dxa"/>
            <w:shd w:val="clear" w:color="auto" w:fill="BFBFBF" w:themeFill="background1" w:themeFillShade="BF"/>
            <w:hideMark/>
          </w:tcPr>
          <w:p w14:paraId="2DB6243E" w14:textId="77777777" w:rsidR="00005FAE" w:rsidRPr="00005FAE" w:rsidRDefault="00005FAE" w:rsidP="00005FAE">
            <w:pPr>
              <w:spacing w:after="0" w:line="240" w:lineRule="auto"/>
              <w:ind w:left="-142"/>
              <w:jc w:val="right"/>
              <w:rPr>
                <w:rFonts w:ascii="Arial" w:hAnsi="Arial" w:cs="Arial"/>
                <w:b/>
                <w:bCs/>
                <w:color w:val="000000" w:themeColor="text1"/>
                <w:sz w:val="24"/>
                <w:szCs w:val="24"/>
              </w:rPr>
            </w:pPr>
            <w:r w:rsidRPr="00005FAE">
              <w:rPr>
                <w:rFonts w:ascii="Arial" w:hAnsi="Arial" w:cs="Arial"/>
                <w:b/>
                <w:bCs/>
                <w:color w:val="000000" w:themeColor="text1"/>
                <w:sz w:val="24"/>
                <w:szCs w:val="24"/>
              </w:rPr>
              <w:t xml:space="preserve">Value </w:t>
            </w:r>
          </w:p>
          <w:p w14:paraId="62CF0638" w14:textId="3F992BB3" w:rsidR="00C74952" w:rsidRPr="006802FE" w:rsidRDefault="00005FAE" w:rsidP="00005FAE">
            <w:pPr>
              <w:spacing w:after="0" w:line="240" w:lineRule="auto"/>
              <w:ind w:left="-142"/>
              <w:jc w:val="right"/>
              <w:rPr>
                <w:rFonts w:ascii="Arial" w:hAnsi="Arial" w:cs="Arial"/>
                <w:b/>
                <w:bCs/>
                <w:color w:val="000000" w:themeColor="text1"/>
                <w:sz w:val="24"/>
                <w:szCs w:val="24"/>
              </w:rPr>
            </w:pPr>
            <w:r w:rsidRPr="00005FAE">
              <w:rPr>
                <w:rFonts w:ascii="Arial" w:hAnsi="Arial" w:cs="Arial"/>
                <w:b/>
                <w:bCs/>
                <w:color w:val="000000" w:themeColor="text1"/>
                <w:sz w:val="24"/>
                <w:szCs w:val="24"/>
              </w:rPr>
              <w:t>(Ex. VAT)</w:t>
            </w:r>
          </w:p>
        </w:tc>
      </w:tr>
      <w:tr w:rsidR="00C74952" w:rsidRPr="006802FE" w14:paraId="489992B2" w14:textId="77777777" w:rsidTr="006802FE">
        <w:trPr>
          <w:trHeight w:val="240"/>
        </w:trPr>
        <w:tc>
          <w:tcPr>
            <w:tcW w:w="5098" w:type="dxa"/>
            <w:noWrap/>
            <w:hideMark/>
          </w:tcPr>
          <w:p w14:paraId="03A20314"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Tarbolton Project 2</w:t>
            </w:r>
          </w:p>
        </w:tc>
        <w:tc>
          <w:tcPr>
            <w:tcW w:w="1418" w:type="dxa"/>
            <w:noWrap/>
            <w:hideMark/>
          </w:tcPr>
          <w:p w14:paraId="795CD966"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31/03/2020</w:t>
            </w:r>
          </w:p>
        </w:tc>
        <w:tc>
          <w:tcPr>
            <w:tcW w:w="992" w:type="dxa"/>
            <w:noWrap/>
            <w:hideMark/>
          </w:tcPr>
          <w:p w14:paraId="7A0D14AA"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62DEAC46"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31/01/2020</w:t>
            </w:r>
          </w:p>
        </w:tc>
        <w:tc>
          <w:tcPr>
            <w:tcW w:w="1419" w:type="dxa"/>
            <w:noWrap/>
            <w:hideMark/>
          </w:tcPr>
          <w:p w14:paraId="1383F6A3"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25,000.00</w:t>
            </w:r>
          </w:p>
        </w:tc>
      </w:tr>
      <w:tr w:rsidR="00C74952" w:rsidRPr="006802FE" w14:paraId="3659A0C6" w14:textId="77777777" w:rsidTr="006802FE">
        <w:trPr>
          <w:trHeight w:val="240"/>
        </w:trPr>
        <w:tc>
          <w:tcPr>
            <w:tcW w:w="5098" w:type="dxa"/>
            <w:noWrap/>
            <w:hideMark/>
          </w:tcPr>
          <w:p w14:paraId="469D9B71"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Support &amp; Maintenance for Geofield and Geofield Exchange Software</w:t>
            </w:r>
          </w:p>
        </w:tc>
        <w:tc>
          <w:tcPr>
            <w:tcW w:w="1418" w:type="dxa"/>
            <w:noWrap/>
            <w:hideMark/>
          </w:tcPr>
          <w:p w14:paraId="276123A8"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30/04/2021</w:t>
            </w:r>
          </w:p>
        </w:tc>
        <w:tc>
          <w:tcPr>
            <w:tcW w:w="992" w:type="dxa"/>
            <w:noWrap/>
            <w:hideMark/>
          </w:tcPr>
          <w:p w14:paraId="54A1A332"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12</w:t>
            </w:r>
          </w:p>
        </w:tc>
        <w:tc>
          <w:tcPr>
            <w:tcW w:w="1559" w:type="dxa"/>
            <w:noWrap/>
            <w:hideMark/>
          </w:tcPr>
          <w:p w14:paraId="57FE93B9"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01/03/2021</w:t>
            </w:r>
          </w:p>
        </w:tc>
        <w:tc>
          <w:tcPr>
            <w:tcW w:w="1419" w:type="dxa"/>
            <w:noWrap/>
            <w:hideMark/>
          </w:tcPr>
          <w:p w14:paraId="5C7602E3"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36,754.00</w:t>
            </w:r>
          </w:p>
        </w:tc>
      </w:tr>
      <w:tr w:rsidR="00C74952" w:rsidRPr="006802FE" w14:paraId="51478335" w14:textId="77777777" w:rsidTr="006802FE">
        <w:trPr>
          <w:trHeight w:val="240"/>
        </w:trPr>
        <w:tc>
          <w:tcPr>
            <w:tcW w:w="5098" w:type="dxa"/>
            <w:noWrap/>
            <w:hideMark/>
          </w:tcPr>
          <w:p w14:paraId="27798B65"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Secure Radio Network</w:t>
            </w:r>
          </w:p>
        </w:tc>
        <w:tc>
          <w:tcPr>
            <w:tcW w:w="1418" w:type="dxa"/>
            <w:noWrap/>
            <w:hideMark/>
          </w:tcPr>
          <w:p w14:paraId="7CE575C2"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17/12/2022</w:t>
            </w:r>
          </w:p>
        </w:tc>
        <w:tc>
          <w:tcPr>
            <w:tcW w:w="992" w:type="dxa"/>
            <w:noWrap/>
            <w:hideMark/>
          </w:tcPr>
          <w:p w14:paraId="09E38C0A"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79801925"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18/10/2022</w:t>
            </w:r>
          </w:p>
        </w:tc>
        <w:tc>
          <w:tcPr>
            <w:tcW w:w="1419" w:type="dxa"/>
            <w:noWrap/>
            <w:hideMark/>
          </w:tcPr>
          <w:p w14:paraId="4251A584"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13,271.94</w:t>
            </w:r>
          </w:p>
        </w:tc>
      </w:tr>
      <w:tr w:rsidR="00C74952" w:rsidRPr="006802FE" w14:paraId="49B02DF1" w14:textId="77777777" w:rsidTr="006802FE">
        <w:trPr>
          <w:trHeight w:val="240"/>
        </w:trPr>
        <w:tc>
          <w:tcPr>
            <w:tcW w:w="5098" w:type="dxa"/>
            <w:noWrap/>
            <w:hideMark/>
          </w:tcPr>
          <w:p w14:paraId="3F816251"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Habits Surveys</w:t>
            </w:r>
          </w:p>
        </w:tc>
        <w:tc>
          <w:tcPr>
            <w:tcW w:w="1418" w:type="dxa"/>
            <w:noWrap/>
            <w:hideMark/>
          </w:tcPr>
          <w:p w14:paraId="61A5A400"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18/02/2022</w:t>
            </w:r>
          </w:p>
        </w:tc>
        <w:tc>
          <w:tcPr>
            <w:tcW w:w="992" w:type="dxa"/>
            <w:noWrap/>
            <w:hideMark/>
          </w:tcPr>
          <w:p w14:paraId="2A918764"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24</w:t>
            </w:r>
          </w:p>
        </w:tc>
        <w:tc>
          <w:tcPr>
            <w:tcW w:w="1559" w:type="dxa"/>
            <w:noWrap/>
            <w:hideMark/>
          </w:tcPr>
          <w:p w14:paraId="2C03D6AE"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18/02/2022</w:t>
            </w:r>
          </w:p>
        </w:tc>
        <w:tc>
          <w:tcPr>
            <w:tcW w:w="1419" w:type="dxa"/>
            <w:noWrap/>
            <w:hideMark/>
          </w:tcPr>
          <w:p w14:paraId="2A4F9266"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390,990.00</w:t>
            </w:r>
          </w:p>
        </w:tc>
      </w:tr>
      <w:tr w:rsidR="00C74952" w:rsidRPr="006802FE" w14:paraId="0C9CFCC6" w14:textId="77777777" w:rsidTr="006802FE">
        <w:trPr>
          <w:trHeight w:val="240"/>
        </w:trPr>
        <w:tc>
          <w:tcPr>
            <w:tcW w:w="5098" w:type="dxa"/>
            <w:noWrap/>
            <w:hideMark/>
          </w:tcPr>
          <w:p w14:paraId="06DF5D0E"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IBM i2 maintenance package</w:t>
            </w:r>
          </w:p>
        </w:tc>
        <w:tc>
          <w:tcPr>
            <w:tcW w:w="1418" w:type="dxa"/>
            <w:noWrap/>
            <w:hideMark/>
          </w:tcPr>
          <w:p w14:paraId="4201A825"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30/04/2020</w:t>
            </w:r>
          </w:p>
        </w:tc>
        <w:tc>
          <w:tcPr>
            <w:tcW w:w="992" w:type="dxa"/>
            <w:noWrap/>
            <w:hideMark/>
          </w:tcPr>
          <w:p w14:paraId="549C66E9"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0F24DFD3"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01/03/2020</w:t>
            </w:r>
          </w:p>
        </w:tc>
        <w:tc>
          <w:tcPr>
            <w:tcW w:w="1419" w:type="dxa"/>
            <w:noWrap/>
            <w:hideMark/>
          </w:tcPr>
          <w:p w14:paraId="14AB59B4"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29,802.66</w:t>
            </w:r>
          </w:p>
        </w:tc>
      </w:tr>
      <w:tr w:rsidR="00C74952" w:rsidRPr="006802FE" w14:paraId="2ACBDCA0" w14:textId="77777777" w:rsidTr="006802FE">
        <w:trPr>
          <w:trHeight w:val="240"/>
        </w:trPr>
        <w:tc>
          <w:tcPr>
            <w:tcW w:w="5098" w:type="dxa"/>
            <w:noWrap/>
            <w:hideMark/>
          </w:tcPr>
          <w:p w14:paraId="7D99FC1C"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Coastal Monitoring - Additional Sites</w:t>
            </w:r>
          </w:p>
        </w:tc>
        <w:tc>
          <w:tcPr>
            <w:tcW w:w="1418" w:type="dxa"/>
            <w:noWrap/>
            <w:hideMark/>
          </w:tcPr>
          <w:p w14:paraId="1769C99E"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21/03/2020</w:t>
            </w:r>
          </w:p>
        </w:tc>
        <w:tc>
          <w:tcPr>
            <w:tcW w:w="992" w:type="dxa"/>
            <w:noWrap/>
            <w:hideMark/>
          </w:tcPr>
          <w:p w14:paraId="50686739"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504CD1B8"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21/03/2020</w:t>
            </w:r>
          </w:p>
        </w:tc>
        <w:tc>
          <w:tcPr>
            <w:tcW w:w="1419" w:type="dxa"/>
            <w:noWrap/>
            <w:hideMark/>
          </w:tcPr>
          <w:p w14:paraId="2E165BC8"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12,111.00</w:t>
            </w:r>
          </w:p>
        </w:tc>
      </w:tr>
      <w:tr w:rsidR="00C74952" w:rsidRPr="006802FE" w14:paraId="1BAF335A" w14:textId="77777777" w:rsidTr="006802FE">
        <w:trPr>
          <w:trHeight w:val="240"/>
        </w:trPr>
        <w:tc>
          <w:tcPr>
            <w:tcW w:w="5098" w:type="dxa"/>
            <w:noWrap/>
            <w:hideMark/>
          </w:tcPr>
          <w:p w14:paraId="69DBBF36"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Clyde Habits Survey</w:t>
            </w:r>
          </w:p>
        </w:tc>
        <w:tc>
          <w:tcPr>
            <w:tcW w:w="1418" w:type="dxa"/>
            <w:noWrap/>
            <w:hideMark/>
          </w:tcPr>
          <w:p w14:paraId="2E4379B2"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31/12/2019</w:t>
            </w:r>
          </w:p>
        </w:tc>
        <w:tc>
          <w:tcPr>
            <w:tcW w:w="992" w:type="dxa"/>
            <w:noWrap/>
            <w:hideMark/>
          </w:tcPr>
          <w:p w14:paraId="6DA07DE6"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410AD166"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01/12/2019</w:t>
            </w:r>
          </w:p>
        </w:tc>
        <w:tc>
          <w:tcPr>
            <w:tcW w:w="1419" w:type="dxa"/>
            <w:noWrap/>
            <w:hideMark/>
          </w:tcPr>
          <w:p w14:paraId="570FFECF"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15,730.50</w:t>
            </w:r>
          </w:p>
        </w:tc>
      </w:tr>
      <w:tr w:rsidR="00C74952" w:rsidRPr="006802FE" w14:paraId="26F98D9E" w14:textId="77777777" w:rsidTr="006802FE">
        <w:trPr>
          <w:trHeight w:val="240"/>
        </w:trPr>
        <w:tc>
          <w:tcPr>
            <w:tcW w:w="5098" w:type="dxa"/>
            <w:noWrap/>
            <w:hideMark/>
          </w:tcPr>
          <w:p w14:paraId="2B51C99B"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RIMNET Sampling - Additional Samples</w:t>
            </w:r>
          </w:p>
        </w:tc>
        <w:tc>
          <w:tcPr>
            <w:tcW w:w="1418" w:type="dxa"/>
            <w:noWrap/>
            <w:hideMark/>
          </w:tcPr>
          <w:p w14:paraId="7BB004D7"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31/03/2020</w:t>
            </w:r>
          </w:p>
        </w:tc>
        <w:tc>
          <w:tcPr>
            <w:tcW w:w="992" w:type="dxa"/>
            <w:noWrap/>
            <w:hideMark/>
          </w:tcPr>
          <w:p w14:paraId="2AB69B87"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3A79416A"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31/03/2020</w:t>
            </w:r>
          </w:p>
        </w:tc>
        <w:tc>
          <w:tcPr>
            <w:tcW w:w="1419" w:type="dxa"/>
            <w:noWrap/>
            <w:hideMark/>
          </w:tcPr>
          <w:p w14:paraId="58CF6243"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19,998.00</w:t>
            </w:r>
          </w:p>
        </w:tc>
      </w:tr>
      <w:tr w:rsidR="00C74952" w:rsidRPr="006802FE" w14:paraId="714E5A8E" w14:textId="77777777" w:rsidTr="006802FE">
        <w:trPr>
          <w:trHeight w:val="240"/>
        </w:trPr>
        <w:tc>
          <w:tcPr>
            <w:tcW w:w="5098" w:type="dxa"/>
            <w:noWrap/>
            <w:hideMark/>
          </w:tcPr>
          <w:p w14:paraId="4EBAA1BE"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Radiation Protection Advisor</w:t>
            </w:r>
          </w:p>
        </w:tc>
        <w:tc>
          <w:tcPr>
            <w:tcW w:w="1418" w:type="dxa"/>
            <w:noWrap/>
            <w:hideMark/>
          </w:tcPr>
          <w:p w14:paraId="68DBCA77"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22/03/2023</w:t>
            </w:r>
          </w:p>
        </w:tc>
        <w:tc>
          <w:tcPr>
            <w:tcW w:w="992" w:type="dxa"/>
            <w:noWrap/>
            <w:hideMark/>
          </w:tcPr>
          <w:p w14:paraId="52F32C45"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24</w:t>
            </w:r>
          </w:p>
        </w:tc>
        <w:tc>
          <w:tcPr>
            <w:tcW w:w="1559" w:type="dxa"/>
            <w:noWrap/>
            <w:hideMark/>
          </w:tcPr>
          <w:p w14:paraId="55F62244"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22/12/2022</w:t>
            </w:r>
          </w:p>
        </w:tc>
        <w:tc>
          <w:tcPr>
            <w:tcW w:w="1419" w:type="dxa"/>
            <w:noWrap/>
            <w:hideMark/>
          </w:tcPr>
          <w:p w14:paraId="5E8D6451"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20,000.00</w:t>
            </w:r>
          </w:p>
        </w:tc>
      </w:tr>
    </w:tbl>
    <w:p w14:paraId="65F4DF56" w14:textId="77777777" w:rsidR="00C74952" w:rsidRPr="00070B35" w:rsidRDefault="00C74952" w:rsidP="00C74952">
      <w:pPr>
        <w:spacing w:after="0"/>
        <w:rPr>
          <w:rFonts w:ascii="Arial" w:hAnsi="Arial" w:cs="Arial"/>
          <w:b/>
          <w:color w:val="FF0000"/>
        </w:rPr>
      </w:pPr>
    </w:p>
    <w:p w14:paraId="7E28D9DA" w14:textId="77777777" w:rsidR="00C74952" w:rsidRPr="006802FE" w:rsidRDefault="00C74952" w:rsidP="00C74952">
      <w:pPr>
        <w:spacing w:after="0"/>
        <w:rPr>
          <w:rFonts w:ascii="Arial" w:hAnsi="Arial" w:cs="Arial"/>
          <w:b/>
          <w:color w:val="000000" w:themeColor="text1"/>
          <w:sz w:val="24"/>
          <w:szCs w:val="24"/>
        </w:rPr>
      </w:pPr>
      <w:r w:rsidRPr="006802FE">
        <w:rPr>
          <w:rFonts w:ascii="Arial" w:hAnsi="Arial" w:cs="Arial"/>
          <w:b/>
          <w:color w:val="000000" w:themeColor="text1"/>
          <w:sz w:val="24"/>
          <w:szCs w:val="24"/>
        </w:rPr>
        <w:t>Circular Economy</w:t>
      </w:r>
    </w:p>
    <w:p w14:paraId="003A8AD1" w14:textId="77777777" w:rsidR="00C74952" w:rsidRPr="006802FE" w:rsidRDefault="00C74952" w:rsidP="00C74952">
      <w:pPr>
        <w:spacing w:after="0"/>
        <w:rPr>
          <w:rFonts w:ascii="Arial" w:hAnsi="Arial" w:cs="Arial"/>
          <w:b/>
          <w:color w:val="FF0000"/>
          <w:sz w:val="24"/>
          <w:szCs w:val="24"/>
        </w:rPr>
      </w:pPr>
    </w:p>
    <w:tbl>
      <w:tblPr>
        <w:tblStyle w:val="TableGrid"/>
        <w:tblW w:w="10485" w:type="dxa"/>
        <w:tblLook w:val="04A0" w:firstRow="1" w:lastRow="0" w:firstColumn="1" w:lastColumn="0" w:noHBand="0" w:noVBand="1"/>
      </w:tblPr>
      <w:tblGrid>
        <w:gridCol w:w="5098"/>
        <w:gridCol w:w="1418"/>
        <w:gridCol w:w="992"/>
        <w:gridCol w:w="1559"/>
        <w:gridCol w:w="1418"/>
      </w:tblGrid>
      <w:tr w:rsidR="00C74952" w:rsidRPr="006802FE" w14:paraId="1527746C" w14:textId="77777777" w:rsidTr="006802FE">
        <w:trPr>
          <w:trHeight w:val="528"/>
        </w:trPr>
        <w:tc>
          <w:tcPr>
            <w:tcW w:w="5098" w:type="dxa"/>
            <w:shd w:val="clear" w:color="auto" w:fill="BFBFBF" w:themeFill="background1" w:themeFillShade="BF"/>
            <w:hideMark/>
          </w:tcPr>
          <w:p w14:paraId="60EC28E6" w14:textId="77777777" w:rsidR="00C74952" w:rsidRPr="006802FE" w:rsidRDefault="00C74952" w:rsidP="002F24A3">
            <w:pPr>
              <w:spacing w:after="0"/>
              <w:rPr>
                <w:rFonts w:ascii="Arial" w:hAnsi="Arial" w:cs="Arial"/>
                <w:b/>
                <w:bCs/>
                <w:color w:val="000000" w:themeColor="text1"/>
                <w:sz w:val="24"/>
                <w:szCs w:val="24"/>
              </w:rPr>
            </w:pPr>
            <w:r w:rsidRPr="006802FE">
              <w:rPr>
                <w:rFonts w:ascii="Arial" w:hAnsi="Arial" w:cs="Arial"/>
                <w:b/>
                <w:bCs/>
                <w:color w:val="000000" w:themeColor="text1"/>
                <w:sz w:val="24"/>
                <w:szCs w:val="24"/>
              </w:rPr>
              <w:t>Description</w:t>
            </w:r>
          </w:p>
        </w:tc>
        <w:tc>
          <w:tcPr>
            <w:tcW w:w="1418" w:type="dxa"/>
            <w:shd w:val="clear" w:color="auto" w:fill="BFBFBF" w:themeFill="background1" w:themeFillShade="BF"/>
            <w:hideMark/>
          </w:tcPr>
          <w:p w14:paraId="5EE9E981" w14:textId="77777777" w:rsidR="00C74952" w:rsidRPr="006802FE" w:rsidRDefault="00C74952" w:rsidP="002F24A3">
            <w:pPr>
              <w:spacing w:after="0"/>
              <w:jc w:val="center"/>
              <w:rPr>
                <w:rFonts w:ascii="Arial" w:hAnsi="Arial" w:cs="Arial"/>
                <w:b/>
                <w:bCs/>
                <w:color w:val="000000" w:themeColor="text1"/>
                <w:sz w:val="24"/>
                <w:szCs w:val="24"/>
              </w:rPr>
            </w:pPr>
            <w:r w:rsidRPr="006802FE">
              <w:rPr>
                <w:rFonts w:ascii="Arial" w:hAnsi="Arial" w:cs="Arial"/>
                <w:b/>
                <w:bCs/>
                <w:color w:val="000000" w:themeColor="text1"/>
                <w:sz w:val="24"/>
                <w:szCs w:val="24"/>
              </w:rPr>
              <w:t>Date To</w:t>
            </w:r>
          </w:p>
        </w:tc>
        <w:tc>
          <w:tcPr>
            <w:tcW w:w="992" w:type="dxa"/>
            <w:shd w:val="clear" w:color="auto" w:fill="BFBFBF" w:themeFill="background1" w:themeFillShade="BF"/>
            <w:hideMark/>
          </w:tcPr>
          <w:p w14:paraId="4EAFDBF2" w14:textId="77777777" w:rsidR="00C74952" w:rsidRPr="006802FE" w:rsidRDefault="00C74952" w:rsidP="002F24A3">
            <w:pPr>
              <w:spacing w:after="0"/>
              <w:jc w:val="center"/>
              <w:rPr>
                <w:rFonts w:ascii="Arial" w:hAnsi="Arial" w:cs="Arial"/>
                <w:b/>
                <w:bCs/>
                <w:color w:val="000000" w:themeColor="text1"/>
                <w:sz w:val="24"/>
                <w:szCs w:val="24"/>
              </w:rPr>
            </w:pPr>
            <w:r w:rsidRPr="006802FE">
              <w:rPr>
                <w:rFonts w:ascii="Arial" w:hAnsi="Arial" w:cs="Arial"/>
                <w:b/>
                <w:bCs/>
                <w:color w:val="000000" w:themeColor="text1"/>
                <w:sz w:val="24"/>
                <w:szCs w:val="24"/>
              </w:rPr>
              <w:t>Ext (Mths)</w:t>
            </w:r>
          </w:p>
        </w:tc>
        <w:tc>
          <w:tcPr>
            <w:tcW w:w="1559" w:type="dxa"/>
            <w:shd w:val="clear" w:color="auto" w:fill="BFBFBF" w:themeFill="background1" w:themeFillShade="BF"/>
            <w:hideMark/>
          </w:tcPr>
          <w:p w14:paraId="4B95A3D6" w14:textId="77777777" w:rsidR="00C74952" w:rsidRPr="006802FE" w:rsidRDefault="00C74952" w:rsidP="006802FE">
            <w:pPr>
              <w:spacing w:after="0"/>
              <w:jc w:val="center"/>
              <w:rPr>
                <w:rFonts w:ascii="Arial" w:hAnsi="Arial" w:cs="Arial"/>
                <w:b/>
                <w:bCs/>
                <w:color w:val="000000" w:themeColor="text1"/>
                <w:sz w:val="24"/>
                <w:szCs w:val="24"/>
              </w:rPr>
            </w:pPr>
            <w:r w:rsidRPr="006802FE">
              <w:rPr>
                <w:rFonts w:ascii="Arial" w:hAnsi="Arial" w:cs="Arial"/>
                <w:b/>
                <w:bCs/>
                <w:color w:val="000000" w:themeColor="text1"/>
                <w:sz w:val="24"/>
                <w:szCs w:val="24"/>
              </w:rPr>
              <w:t>Review Date</w:t>
            </w:r>
          </w:p>
        </w:tc>
        <w:tc>
          <w:tcPr>
            <w:tcW w:w="1418" w:type="dxa"/>
            <w:shd w:val="clear" w:color="auto" w:fill="BFBFBF" w:themeFill="background1" w:themeFillShade="BF"/>
            <w:hideMark/>
          </w:tcPr>
          <w:p w14:paraId="78306F29" w14:textId="77777777" w:rsidR="00005FAE" w:rsidRPr="00005FAE" w:rsidRDefault="00005FAE" w:rsidP="00005FAE">
            <w:pPr>
              <w:spacing w:after="0"/>
              <w:jc w:val="right"/>
              <w:rPr>
                <w:rFonts w:ascii="Arial" w:hAnsi="Arial" w:cs="Arial"/>
                <w:b/>
                <w:bCs/>
                <w:color w:val="000000" w:themeColor="text1"/>
                <w:sz w:val="24"/>
                <w:szCs w:val="24"/>
              </w:rPr>
            </w:pPr>
            <w:r w:rsidRPr="00005FAE">
              <w:rPr>
                <w:rFonts w:ascii="Arial" w:hAnsi="Arial" w:cs="Arial"/>
                <w:b/>
                <w:bCs/>
                <w:color w:val="000000" w:themeColor="text1"/>
                <w:sz w:val="24"/>
                <w:szCs w:val="24"/>
              </w:rPr>
              <w:t xml:space="preserve">Value </w:t>
            </w:r>
          </w:p>
          <w:p w14:paraId="46BB292D" w14:textId="752572B3" w:rsidR="00C74952" w:rsidRPr="006802FE" w:rsidRDefault="00005FAE" w:rsidP="00005FAE">
            <w:pPr>
              <w:spacing w:after="0"/>
              <w:jc w:val="right"/>
              <w:rPr>
                <w:rFonts w:ascii="Arial" w:hAnsi="Arial" w:cs="Arial"/>
                <w:b/>
                <w:bCs/>
                <w:color w:val="000000" w:themeColor="text1"/>
                <w:sz w:val="24"/>
                <w:szCs w:val="24"/>
              </w:rPr>
            </w:pPr>
            <w:r w:rsidRPr="00005FAE">
              <w:rPr>
                <w:rFonts w:ascii="Arial" w:hAnsi="Arial" w:cs="Arial"/>
                <w:b/>
                <w:bCs/>
                <w:color w:val="000000" w:themeColor="text1"/>
                <w:sz w:val="24"/>
                <w:szCs w:val="24"/>
              </w:rPr>
              <w:t>(Ex. VAT)</w:t>
            </w:r>
          </w:p>
        </w:tc>
      </w:tr>
      <w:tr w:rsidR="00C74952" w:rsidRPr="006802FE" w14:paraId="5BD96FEF" w14:textId="77777777" w:rsidTr="006802FE">
        <w:trPr>
          <w:trHeight w:val="240"/>
        </w:trPr>
        <w:tc>
          <w:tcPr>
            <w:tcW w:w="5098" w:type="dxa"/>
            <w:noWrap/>
            <w:hideMark/>
          </w:tcPr>
          <w:p w14:paraId="25AA1B3E"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Source apportionment of metal mine pollution in Glengonnar &amp; Wanlock Waters</w:t>
            </w:r>
          </w:p>
        </w:tc>
        <w:tc>
          <w:tcPr>
            <w:tcW w:w="1418" w:type="dxa"/>
            <w:noWrap/>
            <w:hideMark/>
          </w:tcPr>
          <w:p w14:paraId="09E3E25B"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29/02/2020</w:t>
            </w:r>
          </w:p>
        </w:tc>
        <w:tc>
          <w:tcPr>
            <w:tcW w:w="992" w:type="dxa"/>
            <w:noWrap/>
            <w:hideMark/>
          </w:tcPr>
          <w:p w14:paraId="066F85D1"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7F6D64B6"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02/09/2019</w:t>
            </w:r>
          </w:p>
        </w:tc>
        <w:tc>
          <w:tcPr>
            <w:tcW w:w="1418" w:type="dxa"/>
            <w:noWrap/>
            <w:hideMark/>
          </w:tcPr>
          <w:p w14:paraId="22BD8664"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14,407.00</w:t>
            </w:r>
          </w:p>
        </w:tc>
      </w:tr>
      <w:tr w:rsidR="00C74952" w:rsidRPr="006802FE" w14:paraId="7DE836BD" w14:textId="77777777" w:rsidTr="006802FE">
        <w:trPr>
          <w:trHeight w:val="240"/>
        </w:trPr>
        <w:tc>
          <w:tcPr>
            <w:tcW w:w="5098" w:type="dxa"/>
            <w:noWrap/>
            <w:hideMark/>
          </w:tcPr>
          <w:p w14:paraId="3FA81A36"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Gateside Mills Options Development</w:t>
            </w:r>
          </w:p>
        </w:tc>
        <w:tc>
          <w:tcPr>
            <w:tcW w:w="1418" w:type="dxa"/>
            <w:noWrap/>
            <w:hideMark/>
          </w:tcPr>
          <w:p w14:paraId="2F026328"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31/10/2019</w:t>
            </w:r>
          </w:p>
        </w:tc>
        <w:tc>
          <w:tcPr>
            <w:tcW w:w="992" w:type="dxa"/>
            <w:noWrap/>
            <w:hideMark/>
          </w:tcPr>
          <w:p w14:paraId="09A2D1B2"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46535D2D"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01/10/2019</w:t>
            </w:r>
          </w:p>
        </w:tc>
        <w:tc>
          <w:tcPr>
            <w:tcW w:w="1418" w:type="dxa"/>
            <w:noWrap/>
            <w:hideMark/>
          </w:tcPr>
          <w:p w14:paraId="072A5414"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34,835.00</w:t>
            </w:r>
          </w:p>
        </w:tc>
      </w:tr>
      <w:tr w:rsidR="00C74952" w:rsidRPr="006802FE" w14:paraId="09F26F8B" w14:textId="77777777" w:rsidTr="006802FE">
        <w:trPr>
          <w:trHeight w:val="240"/>
        </w:trPr>
        <w:tc>
          <w:tcPr>
            <w:tcW w:w="5098" w:type="dxa"/>
            <w:noWrap/>
            <w:hideMark/>
          </w:tcPr>
          <w:p w14:paraId="5088E8B2"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Netregs software support &amp; maintenance</w:t>
            </w:r>
          </w:p>
        </w:tc>
        <w:tc>
          <w:tcPr>
            <w:tcW w:w="1418" w:type="dxa"/>
            <w:noWrap/>
            <w:hideMark/>
          </w:tcPr>
          <w:p w14:paraId="2F53CE34"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31/03/2021</w:t>
            </w:r>
          </w:p>
        </w:tc>
        <w:tc>
          <w:tcPr>
            <w:tcW w:w="992" w:type="dxa"/>
            <w:noWrap/>
            <w:hideMark/>
          </w:tcPr>
          <w:p w14:paraId="3D1A7D0E"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24</w:t>
            </w:r>
          </w:p>
        </w:tc>
        <w:tc>
          <w:tcPr>
            <w:tcW w:w="1559" w:type="dxa"/>
            <w:noWrap/>
            <w:hideMark/>
          </w:tcPr>
          <w:p w14:paraId="3C3C4599"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30/01/2021</w:t>
            </w:r>
          </w:p>
        </w:tc>
        <w:tc>
          <w:tcPr>
            <w:tcW w:w="1418" w:type="dxa"/>
            <w:noWrap/>
            <w:hideMark/>
          </w:tcPr>
          <w:p w14:paraId="6F46CB4E"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44,775.00</w:t>
            </w:r>
          </w:p>
        </w:tc>
      </w:tr>
      <w:tr w:rsidR="00C74952" w:rsidRPr="006802FE" w14:paraId="52384FB4" w14:textId="77777777" w:rsidTr="006802FE">
        <w:trPr>
          <w:trHeight w:val="240"/>
        </w:trPr>
        <w:tc>
          <w:tcPr>
            <w:tcW w:w="5098" w:type="dxa"/>
            <w:noWrap/>
            <w:hideMark/>
          </w:tcPr>
          <w:p w14:paraId="34ADD2E1"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Maintenance of Air Sampling Network</w:t>
            </w:r>
          </w:p>
        </w:tc>
        <w:tc>
          <w:tcPr>
            <w:tcW w:w="1418" w:type="dxa"/>
            <w:noWrap/>
            <w:hideMark/>
          </w:tcPr>
          <w:p w14:paraId="0B7FE219"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31/12/2020</w:t>
            </w:r>
          </w:p>
        </w:tc>
        <w:tc>
          <w:tcPr>
            <w:tcW w:w="992" w:type="dxa"/>
            <w:noWrap/>
            <w:hideMark/>
          </w:tcPr>
          <w:p w14:paraId="4411A330"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73AE3490"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31/12/2020</w:t>
            </w:r>
          </w:p>
        </w:tc>
        <w:tc>
          <w:tcPr>
            <w:tcW w:w="1418" w:type="dxa"/>
            <w:noWrap/>
            <w:hideMark/>
          </w:tcPr>
          <w:p w14:paraId="7D236721"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60,223.00</w:t>
            </w:r>
          </w:p>
        </w:tc>
      </w:tr>
      <w:tr w:rsidR="00C74952" w:rsidRPr="006802FE" w14:paraId="21968307" w14:textId="77777777" w:rsidTr="006802FE">
        <w:trPr>
          <w:trHeight w:val="240"/>
        </w:trPr>
        <w:tc>
          <w:tcPr>
            <w:tcW w:w="5098" w:type="dxa"/>
            <w:noWrap/>
            <w:hideMark/>
          </w:tcPr>
          <w:p w14:paraId="555689D3"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Gottar Water Works (WEF)</w:t>
            </w:r>
          </w:p>
        </w:tc>
        <w:tc>
          <w:tcPr>
            <w:tcW w:w="1418" w:type="dxa"/>
            <w:noWrap/>
            <w:hideMark/>
          </w:tcPr>
          <w:p w14:paraId="73F250E5"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31/01/2020</w:t>
            </w:r>
          </w:p>
        </w:tc>
        <w:tc>
          <w:tcPr>
            <w:tcW w:w="992" w:type="dxa"/>
            <w:noWrap/>
            <w:hideMark/>
          </w:tcPr>
          <w:p w14:paraId="32165AF3"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1EABFC90"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01/01/2020</w:t>
            </w:r>
          </w:p>
        </w:tc>
        <w:tc>
          <w:tcPr>
            <w:tcW w:w="1418" w:type="dxa"/>
            <w:noWrap/>
            <w:hideMark/>
          </w:tcPr>
          <w:p w14:paraId="4704E373"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346,042.65</w:t>
            </w:r>
          </w:p>
        </w:tc>
      </w:tr>
      <w:tr w:rsidR="00C74952" w:rsidRPr="006802FE" w14:paraId="317D0FE8" w14:textId="77777777" w:rsidTr="006802FE">
        <w:trPr>
          <w:trHeight w:val="240"/>
        </w:trPr>
        <w:tc>
          <w:tcPr>
            <w:tcW w:w="5098" w:type="dxa"/>
            <w:noWrap/>
            <w:hideMark/>
          </w:tcPr>
          <w:p w14:paraId="262D6BA0"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Revision work for VIBES online application website</w:t>
            </w:r>
          </w:p>
        </w:tc>
        <w:tc>
          <w:tcPr>
            <w:tcW w:w="1418" w:type="dxa"/>
            <w:noWrap/>
            <w:hideMark/>
          </w:tcPr>
          <w:p w14:paraId="3786A8ED"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30/03/2020</w:t>
            </w:r>
          </w:p>
        </w:tc>
        <w:tc>
          <w:tcPr>
            <w:tcW w:w="992" w:type="dxa"/>
            <w:noWrap/>
            <w:hideMark/>
          </w:tcPr>
          <w:p w14:paraId="440B50BB"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0124FE76"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29/02/2020</w:t>
            </w:r>
          </w:p>
        </w:tc>
        <w:tc>
          <w:tcPr>
            <w:tcW w:w="1418" w:type="dxa"/>
            <w:noWrap/>
            <w:hideMark/>
          </w:tcPr>
          <w:p w14:paraId="0342B742"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8,075.00</w:t>
            </w:r>
          </w:p>
        </w:tc>
      </w:tr>
      <w:tr w:rsidR="00C74952" w:rsidRPr="006802FE" w14:paraId="69630703" w14:textId="77777777" w:rsidTr="006802FE">
        <w:trPr>
          <w:trHeight w:val="240"/>
        </w:trPr>
        <w:tc>
          <w:tcPr>
            <w:tcW w:w="5098" w:type="dxa"/>
            <w:noWrap/>
            <w:hideMark/>
          </w:tcPr>
          <w:p w14:paraId="25D80DB6"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Bronie Burn Design (WEF)</w:t>
            </w:r>
          </w:p>
        </w:tc>
        <w:tc>
          <w:tcPr>
            <w:tcW w:w="1418" w:type="dxa"/>
            <w:noWrap/>
            <w:hideMark/>
          </w:tcPr>
          <w:p w14:paraId="6C92C2D0"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30/09/2021</w:t>
            </w:r>
          </w:p>
        </w:tc>
        <w:tc>
          <w:tcPr>
            <w:tcW w:w="992" w:type="dxa"/>
            <w:noWrap/>
            <w:hideMark/>
          </w:tcPr>
          <w:p w14:paraId="554896E4"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5CD18BA8"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01/08/2021</w:t>
            </w:r>
          </w:p>
        </w:tc>
        <w:tc>
          <w:tcPr>
            <w:tcW w:w="1418" w:type="dxa"/>
            <w:noWrap/>
            <w:hideMark/>
          </w:tcPr>
          <w:p w14:paraId="6DE79C45"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49,505.01</w:t>
            </w:r>
          </w:p>
        </w:tc>
      </w:tr>
      <w:tr w:rsidR="00C74952" w:rsidRPr="006802FE" w14:paraId="6C2B00D3" w14:textId="77777777" w:rsidTr="006802FE">
        <w:trPr>
          <w:trHeight w:val="240"/>
        </w:trPr>
        <w:tc>
          <w:tcPr>
            <w:tcW w:w="5098" w:type="dxa"/>
            <w:noWrap/>
            <w:hideMark/>
          </w:tcPr>
          <w:p w14:paraId="1710F95A"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Laserfiche Licencing/Support</w:t>
            </w:r>
          </w:p>
        </w:tc>
        <w:tc>
          <w:tcPr>
            <w:tcW w:w="1418" w:type="dxa"/>
            <w:noWrap/>
            <w:hideMark/>
          </w:tcPr>
          <w:p w14:paraId="013A9D75"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27/07/2020</w:t>
            </w:r>
          </w:p>
        </w:tc>
        <w:tc>
          <w:tcPr>
            <w:tcW w:w="992" w:type="dxa"/>
            <w:noWrap/>
            <w:hideMark/>
          </w:tcPr>
          <w:p w14:paraId="40B747FA"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12</w:t>
            </w:r>
          </w:p>
        </w:tc>
        <w:tc>
          <w:tcPr>
            <w:tcW w:w="1559" w:type="dxa"/>
            <w:noWrap/>
            <w:hideMark/>
          </w:tcPr>
          <w:p w14:paraId="52511DAF"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28/04/2020</w:t>
            </w:r>
          </w:p>
        </w:tc>
        <w:tc>
          <w:tcPr>
            <w:tcW w:w="1418" w:type="dxa"/>
            <w:noWrap/>
            <w:hideMark/>
          </w:tcPr>
          <w:p w14:paraId="0CEC9C0B"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52,955.98</w:t>
            </w:r>
          </w:p>
        </w:tc>
      </w:tr>
      <w:tr w:rsidR="00C74952" w:rsidRPr="006802FE" w14:paraId="2552375C" w14:textId="77777777" w:rsidTr="006802FE">
        <w:trPr>
          <w:trHeight w:val="240"/>
        </w:trPr>
        <w:tc>
          <w:tcPr>
            <w:tcW w:w="5098" w:type="dxa"/>
            <w:noWrap/>
            <w:hideMark/>
          </w:tcPr>
          <w:p w14:paraId="48CB8CA6"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Rothes Burn (WEF)</w:t>
            </w:r>
          </w:p>
        </w:tc>
        <w:tc>
          <w:tcPr>
            <w:tcW w:w="1418" w:type="dxa"/>
            <w:noWrap/>
            <w:hideMark/>
          </w:tcPr>
          <w:p w14:paraId="43DF88A8"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30/06/2020</w:t>
            </w:r>
          </w:p>
        </w:tc>
        <w:tc>
          <w:tcPr>
            <w:tcW w:w="992" w:type="dxa"/>
            <w:noWrap/>
            <w:hideMark/>
          </w:tcPr>
          <w:p w14:paraId="718A7264"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67534C9A"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31/05/2020</w:t>
            </w:r>
          </w:p>
        </w:tc>
        <w:tc>
          <w:tcPr>
            <w:tcW w:w="1418" w:type="dxa"/>
            <w:noWrap/>
            <w:hideMark/>
          </w:tcPr>
          <w:p w14:paraId="01AEADE7"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38,559.25</w:t>
            </w:r>
          </w:p>
        </w:tc>
      </w:tr>
      <w:tr w:rsidR="00C74952" w:rsidRPr="006802FE" w14:paraId="35AC5D1D" w14:textId="77777777" w:rsidTr="006802FE">
        <w:trPr>
          <w:trHeight w:val="240"/>
        </w:trPr>
        <w:tc>
          <w:tcPr>
            <w:tcW w:w="5098" w:type="dxa"/>
            <w:noWrap/>
            <w:hideMark/>
          </w:tcPr>
          <w:p w14:paraId="5E227FFE"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NetRegs Survey</w:t>
            </w:r>
          </w:p>
        </w:tc>
        <w:tc>
          <w:tcPr>
            <w:tcW w:w="1418" w:type="dxa"/>
            <w:noWrap/>
            <w:hideMark/>
          </w:tcPr>
          <w:p w14:paraId="6C950D43"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31/07/2020</w:t>
            </w:r>
          </w:p>
        </w:tc>
        <w:tc>
          <w:tcPr>
            <w:tcW w:w="992" w:type="dxa"/>
            <w:noWrap/>
            <w:hideMark/>
          </w:tcPr>
          <w:p w14:paraId="2D2AA2F3"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57BA156C"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01/06/2020</w:t>
            </w:r>
          </w:p>
        </w:tc>
        <w:tc>
          <w:tcPr>
            <w:tcW w:w="1418" w:type="dxa"/>
            <w:noWrap/>
            <w:hideMark/>
          </w:tcPr>
          <w:p w14:paraId="18D4C593"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56,194.00</w:t>
            </w:r>
          </w:p>
        </w:tc>
      </w:tr>
      <w:tr w:rsidR="00C74952" w:rsidRPr="006802FE" w14:paraId="33D6E4BF" w14:textId="77777777" w:rsidTr="006802FE">
        <w:trPr>
          <w:trHeight w:val="240"/>
        </w:trPr>
        <w:tc>
          <w:tcPr>
            <w:tcW w:w="5098" w:type="dxa"/>
            <w:noWrap/>
            <w:hideMark/>
          </w:tcPr>
          <w:p w14:paraId="307CEAAB"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Leven Catchment - Masterplan Visioning</w:t>
            </w:r>
          </w:p>
        </w:tc>
        <w:tc>
          <w:tcPr>
            <w:tcW w:w="1418" w:type="dxa"/>
            <w:noWrap/>
            <w:hideMark/>
          </w:tcPr>
          <w:p w14:paraId="43436063"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30/06/2019</w:t>
            </w:r>
          </w:p>
        </w:tc>
        <w:tc>
          <w:tcPr>
            <w:tcW w:w="992" w:type="dxa"/>
            <w:noWrap/>
            <w:hideMark/>
          </w:tcPr>
          <w:p w14:paraId="0AD58DA2"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3DA74742"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31/05/2019</w:t>
            </w:r>
          </w:p>
        </w:tc>
        <w:tc>
          <w:tcPr>
            <w:tcW w:w="1418" w:type="dxa"/>
            <w:noWrap/>
            <w:hideMark/>
          </w:tcPr>
          <w:p w14:paraId="55658CC9"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28,405.00</w:t>
            </w:r>
          </w:p>
        </w:tc>
      </w:tr>
      <w:tr w:rsidR="00C74952" w:rsidRPr="006802FE" w14:paraId="1C3BB27A" w14:textId="77777777" w:rsidTr="006802FE">
        <w:trPr>
          <w:trHeight w:val="240"/>
        </w:trPr>
        <w:tc>
          <w:tcPr>
            <w:tcW w:w="5098" w:type="dxa"/>
            <w:shd w:val="clear" w:color="auto" w:fill="auto"/>
            <w:noWrap/>
            <w:hideMark/>
          </w:tcPr>
          <w:p w14:paraId="5612322D"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Malawi in country support</w:t>
            </w:r>
          </w:p>
        </w:tc>
        <w:tc>
          <w:tcPr>
            <w:tcW w:w="1418" w:type="dxa"/>
            <w:shd w:val="clear" w:color="auto" w:fill="auto"/>
            <w:noWrap/>
            <w:hideMark/>
          </w:tcPr>
          <w:p w14:paraId="131BCA6F"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31/03/2023</w:t>
            </w:r>
          </w:p>
        </w:tc>
        <w:tc>
          <w:tcPr>
            <w:tcW w:w="992" w:type="dxa"/>
            <w:shd w:val="clear" w:color="auto" w:fill="auto"/>
            <w:noWrap/>
            <w:hideMark/>
          </w:tcPr>
          <w:p w14:paraId="2C31AEE3"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shd w:val="clear" w:color="auto" w:fill="auto"/>
            <w:noWrap/>
            <w:hideMark/>
          </w:tcPr>
          <w:p w14:paraId="090EF48A"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30/01/2023</w:t>
            </w:r>
          </w:p>
        </w:tc>
        <w:tc>
          <w:tcPr>
            <w:tcW w:w="1418" w:type="dxa"/>
            <w:shd w:val="clear" w:color="auto" w:fill="auto"/>
            <w:noWrap/>
            <w:hideMark/>
          </w:tcPr>
          <w:p w14:paraId="1DC7FCD8"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20,000.00</w:t>
            </w:r>
          </w:p>
        </w:tc>
      </w:tr>
    </w:tbl>
    <w:p w14:paraId="393ABB27" w14:textId="77777777" w:rsidR="00C74952" w:rsidRPr="006802FE" w:rsidRDefault="00C74952" w:rsidP="00C74952">
      <w:pPr>
        <w:spacing w:after="0"/>
        <w:rPr>
          <w:rFonts w:ascii="Arial" w:hAnsi="Arial" w:cs="Arial"/>
          <w:b/>
          <w:color w:val="FF0000"/>
          <w:sz w:val="24"/>
          <w:szCs w:val="24"/>
        </w:rPr>
      </w:pPr>
    </w:p>
    <w:p w14:paraId="1D2A8FED" w14:textId="77777777" w:rsidR="00C74952" w:rsidRPr="006802FE" w:rsidRDefault="00C74952" w:rsidP="00C74952">
      <w:pPr>
        <w:spacing w:after="0"/>
        <w:rPr>
          <w:rFonts w:ascii="Arial" w:hAnsi="Arial" w:cs="Arial"/>
          <w:b/>
          <w:color w:val="000000" w:themeColor="text1"/>
          <w:sz w:val="24"/>
          <w:szCs w:val="24"/>
        </w:rPr>
      </w:pPr>
      <w:r w:rsidRPr="006802FE">
        <w:rPr>
          <w:rFonts w:ascii="Arial" w:hAnsi="Arial" w:cs="Arial"/>
          <w:b/>
          <w:color w:val="000000" w:themeColor="text1"/>
          <w:sz w:val="24"/>
          <w:szCs w:val="24"/>
        </w:rPr>
        <w:t>Evidence and Flooding</w:t>
      </w:r>
    </w:p>
    <w:p w14:paraId="04E038E3" w14:textId="77777777" w:rsidR="00C74952" w:rsidRPr="00070B35" w:rsidRDefault="00C74952" w:rsidP="00C74952">
      <w:pPr>
        <w:spacing w:after="0"/>
        <w:rPr>
          <w:rFonts w:ascii="Arial" w:hAnsi="Arial" w:cs="Arial"/>
          <w:b/>
          <w:color w:val="FF0000"/>
        </w:rPr>
      </w:pPr>
    </w:p>
    <w:tbl>
      <w:tblPr>
        <w:tblStyle w:val="TableGrid"/>
        <w:tblW w:w="10485" w:type="dxa"/>
        <w:tblLayout w:type="fixed"/>
        <w:tblLook w:val="04A0" w:firstRow="1" w:lastRow="0" w:firstColumn="1" w:lastColumn="0" w:noHBand="0" w:noVBand="1"/>
      </w:tblPr>
      <w:tblGrid>
        <w:gridCol w:w="5098"/>
        <w:gridCol w:w="1418"/>
        <w:gridCol w:w="992"/>
        <w:gridCol w:w="1559"/>
        <w:gridCol w:w="1418"/>
      </w:tblGrid>
      <w:tr w:rsidR="00C74952" w:rsidRPr="006802FE" w14:paraId="5F29099A" w14:textId="77777777" w:rsidTr="006802FE">
        <w:trPr>
          <w:trHeight w:val="528"/>
        </w:trPr>
        <w:tc>
          <w:tcPr>
            <w:tcW w:w="5098" w:type="dxa"/>
            <w:shd w:val="clear" w:color="auto" w:fill="BFBFBF" w:themeFill="background1" w:themeFillShade="BF"/>
            <w:hideMark/>
          </w:tcPr>
          <w:p w14:paraId="28F32260" w14:textId="77777777" w:rsidR="00C74952" w:rsidRPr="006802FE" w:rsidRDefault="00C74952" w:rsidP="002F24A3">
            <w:pPr>
              <w:spacing w:after="0"/>
              <w:rPr>
                <w:rFonts w:ascii="Arial" w:hAnsi="Arial" w:cs="Arial"/>
                <w:b/>
                <w:bCs/>
                <w:color w:val="000000" w:themeColor="text1"/>
                <w:sz w:val="24"/>
                <w:szCs w:val="24"/>
              </w:rPr>
            </w:pPr>
            <w:r w:rsidRPr="006802FE">
              <w:rPr>
                <w:rFonts w:ascii="Arial" w:hAnsi="Arial" w:cs="Arial"/>
                <w:b/>
                <w:bCs/>
                <w:color w:val="000000" w:themeColor="text1"/>
                <w:sz w:val="24"/>
                <w:szCs w:val="24"/>
              </w:rPr>
              <w:t>Description</w:t>
            </w:r>
          </w:p>
        </w:tc>
        <w:tc>
          <w:tcPr>
            <w:tcW w:w="1418" w:type="dxa"/>
            <w:shd w:val="clear" w:color="auto" w:fill="BFBFBF" w:themeFill="background1" w:themeFillShade="BF"/>
            <w:hideMark/>
          </w:tcPr>
          <w:p w14:paraId="127A8269" w14:textId="77777777" w:rsidR="00C74952" w:rsidRPr="006802FE" w:rsidRDefault="00C74952" w:rsidP="006802FE">
            <w:pPr>
              <w:spacing w:after="0"/>
              <w:jc w:val="center"/>
              <w:rPr>
                <w:rFonts w:ascii="Arial" w:hAnsi="Arial" w:cs="Arial"/>
                <w:b/>
                <w:bCs/>
                <w:color w:val="000000" w:themeColor="text1"/>
                <w:sz w:val="24"/>
                <w:szCs w:val="24"/>
              </w:rPr>
            </w:pPr>
            <w:r w:rsidRPr="006802FE">
              <w:rPr>
                <w:rFonts w:ascii="Arial" w:hAnsi="Arial" w:cs="Arial"/>
                <w:b/>
                <w:bCs/>
                <w:color w:val="000000" w:themeColor="text1"/>
                <w:sz w:val="24"/>
                <w:szCs w:val="24"/>
              </w:rPr>
              <w:t>Date To</w:t>
            </w:r>
          </w:p>
        </w:tc>
        <w:tc>
          <w:tcPr>
            <w:tcW w:w="992" w:type="dxa"/>
            <w:shd w:val="clear" w:color="auto" w:fill="BFBFBF" w:themeFill="background1" w:themeFillShade="BF"/>
            <w:hideMark/>
          </w:tcPr>
          <w:p w14:paraId="00E9BF34" w14:textId="77777777" w:rsidR="00C74952" w:rsidRPr="006802FE" w:rsidRDefault="00C74952" w:rsidP="006802FE">
            <w:pPr>
              <w:spacing w:after="0"/>
              <w:jc w:val="center"/>
              <w:rPr>
                <w:rFonts w:ascii="Arial" w:hAnsi="Arial" w:cs="Arial"/>
                <w:b/>
                <w:bCs/>
                <w:color w:val="000000" w:themeColor="text1"/>
                <w:sz w:val="24"/>
                <w:szCs w:val="24"/>
              </w:rPr>
            </w:pPr>
            <w:r w:rsidRPr="006802FE">
              <w:rPr>
                <w:rFonts w:ascii="Arial" w:hAnsi="Arial" w:cs="Arial"/>
                <w:b/>
                <w:bCs/>
                <w:color w:val="000000" w:themeColor="text1"/>
                <w:sz w:val="24"/>
                <w:szCs w:val="24"/>
              </w:rPr>
              <w:t>Ext (Mths)</w:t>
            </w:r>
          </w:p>
        </w:tc>
        <w:tc>
          <w:tcPr>
            <w:tcW w:w="1559" w:type="dxa"/>
            <w:shd w:val="clear" w:color="auto" w:fill="BFBFBF" w:themeFill="background1" w:themeFillShade="BF"/>
            <w:hideMark/>
          </w:tcPr>
          <w:p w14:paraId="2258E531" w14:textId="77777777" w:rsidR="00C74952" w:rsidRPr="006802FE" w:rsidRDefault="00C74952" w:rsidP="006802FE">
            <w:pPr>
              <w:spacing w:after="0"/>
              <w:jc w:val="center"/>
              <w:rPr>
                <w:rFonts w:ascii="Arial" w:hAnsi="Arial" w:cs="Arial"/>
                <w:b/>
                <w:bCs/>
                <w:color w:val="000000" w:themeColor="text1"/>
                <w:sz w:val="24"/>
                <w:szCs w:val="24"/>
              </w:rPr>
            </w:pPr>
            <w:r w:rsidRPr="006802FE">
              <w:rPr>
                <w:rFonts w:ascii="Arial" w:hAnsi="Arial" w:cs="Arial"/>
                <w:b/>
                <w:bCs/>
                <w:color w:val="000000" w:themeColor="text1"/>
                <w:sz w:val="24"/>
                <w:szCs w:val="24"/>
              </w:rPr>
              <w:t>Review Date</w:t>
            </w:r>
          </w:p>
        </w:tc>
        <w:tc>
          <w:tcPr>
            <w:tcW w:w="1418" w:type="dxa"/>
            <w:shd w:val="clear" w:color="auto" w:fill="BFBFBF" w:themeFill="background1" w:themeFillShade="BF"/>
            <w:hideMark/>
          </w:tcPr>
          <w:p w14:paraId="4E1ADF53" w14:textId="77777777" w:rsidR="006802FE" w:rsidRPr="006802FE" w:rsidRDefault="006802FE" w:rsidP="006802FE">
            <w:pPr>
              <w:spacing w:after="0"/>
              <w:jc w:val="right"/>
              <w:rPr>
                <w:rFonts w:ascii="Arial" w:hAnsi="Arial" w:cs="Arial"/>
                <w:b/>
                <w:bCs/>
                <w:color w:val="000000" w:themeColor="text1"/>
                <w:sz w:val="24"/>
                <w:szCs w:val="24"/>
              </w:rPr>
            </w:pPr>
            <w:r w:rsidRPr="006802FE">
              <w:rPr>
                <w:rFonts w:ascii="Arial" w:hAnsi="Arial" w:cs="Arial"/>
                <w:b/>
                <w:bCs/>
                <w:color w:val="000000" w:themeColor="text1"/>
                <w:sz w:val="24"/>
                <w:szCs w:val="24"/>
              </w:rPr>
              <w:t xml:space="preserve">Value </w:t>
            </w:r>
          </w:p>
          <w:p w14:paraId="475D3E3A" w14:textId="77F66484" w:rsidR="00C74952" w:rsidRPr="006802FE" w:rsidRDefault="006802FE" w:rsidP="006802FE">
            <w:pPr>
              <w:spacing w:after="0"/>
              <w:jc w:val="right"/>
              <w:rPr>
                <w:rFonts w:ascii="Arial" w:hAnsi="Arial" w:cs="Arial"/>
                <w:b/>
                <w:bCs/>
                <w:color w:val="000000" w:themeColor="text1"/>
                <w:sz w:val="24"/>
                <w:szCs w:val="24"/>
              </w:rPr>
            </w:pPr>
            <w:r w:rsidRPr="006802FE">
              <w:rPr>
                <w:rFonts w:ascii="Arial" w:hAnsi="Arial" w:cs="Arial"/>
                <w:b/>
                <w:bCs/>
                <w:color w:val="000000" w:themeColor="text1"/>
                <w:sz w:val="24"/>
                <w:szCs w:val="24"/>
              </w:rPr>
              <w:t>(Ex. VAT)</w:t>
            </w:r>
          </w:p>
        </w:tc>
      </w:tr>
      <w:tr w:rsidR="00C74952" w:rsidRPr="006802FE" w14:paraId="4505AEA3" w14:textId="77777777" w:rsidTr="006802FE">
        <w:trPr>
          <w:trHeight w:val="240"/>
        </w:trPr>
        <w:tc>
          <w:tcPr>
            <w:tcW w:w="5098" w:type="dxa"/>
            <w:noWrap/>
            <w:hideMark/>
          </w:tcPr>
          <w:p w14:paraId="446248E3"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Board Management Software</w:t>
            </w:r>
          </w:p>
        </w:tc>
        <w:tc>
          <w:tcPr>
            <w:tcW w:w="1418" w:type="dxa"/>
            <w:noWrap/>
            <w:hideMark/>
          </w:tcPr>
          <w:p w14:paraId="0993148B"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23/05/2021</w:t>
            </w:r>
          </w:p>
        </w:tc>
        <w:tc>
          <w:tcPr>
            <w:tcW w:w="992" w:type="dxa"/>
            <w:noWrap/>
            <w:hideMark/>
          </w:tcPr>
          <w:p w14:paraId="6A87D76F"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7860AD57"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24/03/2021</w:t>
            </w:r>
          </w:p>
        </w:tc>
        <w:tc>
          <w:tcPr>
            <w:tcW w:w="1418" w:type="dxa"/>
            <w:noWrap/>
            <w:hideMark/>
          </w:tcPr>
          <w:p w14:paraId="2FE6D1A7"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35,000.00</w:t>
            </w:r>
          </w:p>
        </w:tc>
      </w:tr>
      <w:tr w:rsidR="00C74952" w:rsidRPr="006802FE" w14:paraId="67827A4D" w14:textId="77777777" w:rsidTr="006802FE">
        <w:trPr>
          <w:trHeight w:val="240"/>
        </w:trPr>
        <w:tc>
          <w:tcPr>
            <w:tcW w:w="5098" w:type="dxa"/>
            <w:noWrap/>
            <w:hideMark/>
          </w:tcPr>
          <w:p w14:paraId="06097B2F"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Replacement Sensors</w:t>
            </w:r>
          </w:p>
        </w:tc>
        <w:tc>
          <w:tcPr>
            <w:tcW w:w="1418" w:type="dxa"/>
            <w:noWrap/>
            <w:hideMark/>
          </w:tcPr>
          <w:p w14:paraId="34C776FE"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29/02/2020</w:t>
            </w:r>
          </w:p>
        </w:tc>
        <w:tc>
          <w:tcPr>
            <w:tcW w:w="992" w:type="dxa"/>
            <w:noWrap/>
            <w:hideMark/>
          </w:tcPr>
          <w:p w14:paraId="632CBB99"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4625C7CE"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30/01/2020</w:t>
            </w:r>
          </w:p>
        </w:tc>
        <w:tc>
          <w:tcPr>
            <w:tcW w:w="1418" w:type="dxa"/>
            <w:noWrap/>
            <w:hideMark/>
          </w:tcPr>
          <w:p w14:paraId="326F00E7"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10,356.50</w:t>
            </w:r>
          </w:p>
        </w:tc>
      </w:tr>
      <w:tr w:rsidR="00C74952" w:rsidRPr="006802FE" w14:paraId="7169DF71" w14:textId="77777777" w:rsidTr="006802FE">
        <w:trPr>
          <w:trHeight w:val="240"/>
        </w:trPr>
        <w:tc>
          <w:tcPr>
            <w:tcW w:w="5098" w:type="dxa"/>
            <w:noWrap/>
            <w:hideMark/>
          </w:tcPr>
          <w:p w14:paraId="139ADAC1"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Freshwater Sondes</w:t>
            </w:r>
          </w:p>
        </w:tc>
        <w:tc>
          <w:tcPr>
            <w:tcW w:w="1418" w:type="dxa"/>
            <w:noWrap/>
            <w:hideMark/>
          </w:tcPr>
          <w:p w14:paraId="36C6DE7A"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31/03/2020</w:t>
            </w:r>
          </w:p>
        </w:tc>
        <w:tc>
          <w:tcPr>
            <w:tcW w:w="992" w:type="dxa"/>
            <w:noWrap/>
            <w:hideMark/>
          </w:tcPr>
          <w:p w14:paraId="0651C949"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0AA3BCA1"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31/01/2020</w:t>
            </w:r>
          </w:p>
        </w:tc>
        <w:tc>
          <w:tcPr>
            <w:tcW w:w="1418" w:type="dxa"/>
            <w:noWrap/>
            <w:hideMark/>
          </w:tcPr>
          <w:p w14:paraId="46882E6D"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25,000.00</w:t>
            </w:r>
          </w:p>
        </w:tc>
      </w:tr>
      <w:tr w:rsidR="00C74952" w:rsidRPr="006802FE" w14:paraId="3017E659" w14:textId="77777777" w:rsidTr="006802FE">
        <w:trPr>
          <w:trHeight w:val="240"/>
        </w:trPr>
        <w:tc>
          <w:tcPr>
            <w:tcW w:w="5098" w:type="dxa"/>
            <w:noWrap/>
            <w:hideMark/>
          </w:tcPr>
          <w:p w14:paraId="05ADD5B6"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Sondes - Marine</w:t>
            </w:r>
          </w:p>
        </w:tc>
        <w:tc>
          <w:tcPr>
            <w:tcW w:w="1418" w:type="dxa"/>
            <w:noWrap/>
            <w:hideMark/>
          </w:tcPr>
          <w:p w14:paraId="78EC4AB4"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31/03/2020</w:t>
            </w:r>
          </w:p>
        </w:tc>
        <w:tc>
          <w:tcPr>
            <w:tcW w:w="992" w:type="dxa"/>
            <w:noWrap/>
            <w:hideMark/>
          </w:tcPr>
          <w:p w14:paraId="1BFAE64F"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0362358D"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31/01/2020</w:t>
            </w:r>
          </w:p>
        </w:tc>
        <w:tc>
          <w:tcPr>
            <w:tcW w:w="1418" w:type="dxa"/>
            <w:noWrap/>
            <w:hideMark/>
          </w:tcPr>
          <w:p w14:paraId="69AD1552"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37,000.00</w:t>
            </w:r>
          </w:p>
        </w:tc>
      </w:tr>
      <w:tr w:rsidR="00C74952" w:rsidRPr="006802FE" w14:paraId="7C06D178" w14:textId="77777777" w:rsidTr="006802FE">
        <w:trPr>
          <w:trHeight w:val="240"/>
        </w:trPr>
        <w:tc>
          <w:tcPr>
            <w:tcW w:w="5098" w:type="dxa"/>
            <w:noWrap/>
            <w:hideMark/>
          </w:tcPr>
          <w:p w14:paraId="1FECABF7"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Annual ProXed Support &amp; Maintenance 2020-2021</w:t>
            </w:r>
          </w:p>
        </w:tc>
        <w:tc>
          <w:tcPr>
            <w:tcW w:w="1418" w:type="dxa"/>
            <w:noWrap/>
            <w:hideMark/>
          </w:tcPr>
          <w:p w14:paraId="558DEF15"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31/03/2021</w:t>
            </w:r>
          </w:p>
        </w:tc>
        <w:tc>
          <w:tcPr>
            <w:tcW w:w="992" w:type="dxa"/>
            <w:noWrap/>
            <w:hideMark/>
          </w:tcPr>
          <w:p w14:paraId="4119D5FD"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17333131"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01/03/2021</w:t>
            </w:r>
          </w:p>
        </w:tc>
        <w:tc>
          <w:tcPr>
            <w:tcW w:w="1418" w:type="dxa"/>
            <w:noWrap/>
            <w:hideMark/>
          </w:tcPr>
          <w:p w14:paraId="21F2D5F5"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6,366.50</w:t>
            </w:r>
          </w:p>
        </w:tc>
      </w:tr>
      <w:tr w:rsidR="00C74952" w:rsidRPr="006802FE" w14:paraId="0C75925B" w14:textId="77777777" w:rsidTr="006802FE">
        <w:trPr>
          <w:trHeight w:val="240"/>
        </w:trPr>
        <w:tc>
          <w:tcPr>
            <w:tcW w:w="5098" w:type="dxa"/>
            <w:noWrap/>
            <w:hideMark/>
          </w:tcPr>
          <w:p w14:paraId="2C9EF503"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Annual ProXed Support &amp; Maintenance 2019-2020</w:t>
            </w:r>
          </w:p>
        </w:tc>
        <w:tc>
          <w:tcPr>
            <w:tcW w:w="1418" w:type="dxa"/>
            <w:noWrap/>
            <w:hideMark/>
          </w:tcPr>
          <w:p w14:paraId="692A36D9"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30/04/2020</w:t>
            </w:r>
          </w:p>
        </w:tc>
        <w:tc>
          <w:tcPr>
            <w:tcW w:w="992" w:type="dxa"/>
            <w:noWrap/>
            <w:hideMark/>
          </w:tcPr>
          <w:p w14:paraId="13871CF8"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416F0C6B"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31/03/2020</w:t>
            </w:r>
          </w:p>
        </w:tc>
        <w:tc>
          <w:tcPr>
            <w:tcW w:w="1418" w:type="dxa"/>
            <w:noWrap/>
            <w:hideMark/>
          </w:tcPr>
          <w:p w14:paraId="5C3C32CC"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6,366.50</w:t>
            </w:r>
          </w:p>
        </w:tc>
      </w:tr>
      <w:tr w:rsidR="00C74952" w:rsidRPr="006802FE" w14:paraId="647F158F" w14:textId="77777777" w:rsidTr="006802FE">
        <w:trPr>
          <w:trHeight w:val="240"/>
        </w:trPr>
        <w:tc>
          <w:tcPr>
            <w:tcW w:w="5098" w:type="dxa"/>
            <w:noWrap/>
            <w:hideMark/>
          </w:tcPr>
          <w:p w14:paraId="157C6329"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lastRenderedPageBreak/>
              <w:t>Scotland´s Aquaculture Website ProcXed Migration</w:t>
            </w:r>
          </w:p>
        </w:tc>
        <w:tc>
          <w:tcPr>
            <w:tcW w:w="1418" w:type="dxa"/>
            <w:noWrap/>
            <w:hideMark/>
          </w:tcPr>
          <w:p w14:paraId="5FF4D4EA"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31/03/2020</w:t>
            </w:r>
          </w:p>
        </w:tc>
        <w:tc>
          <w:tcPr>
            <w:tcW w:w="992" w:type="dxa"/>
            <w:noWrap/>
            <w:hideMark/>
          </w:tcPr>
          <w:p w14:paraId="4E98F79D"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5D601D5F"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01/03/2020</w:t>
            </w:r>
          </w:p>
        </w:tc>
        <w:tc>
          <w:tcPr>
            <w:tcW w:w="1418" w:type="dxa"/>
            <w:noWrap/>
            <w:hideMark/>
          </w:tcPr>
          <w:p w14:paraId="4B53AF76"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16,440.00</w:t>
            </w:r>
          </w:p>
        </w:tc>
      </w:tr>
      <w:tr w:rsidR="00C74952" w:rsidRPr="006802FE" w14:paraId="68B5FA7F" w14:textId="77777777" w:rsidTr="006802FE">
        <w:trPr>
          <w:trHeight w:val="240"/>
        </w:trPr>
        <w:tc>
          <w:tcPr>
            <w:tcW w:w="5098" w:type="dxa"/>
            <w:noWrap/>
            <w:hideMark/>
          </w:tcPr>
          <w:p w14:paraId="7A6B0B07"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Aberfoyle Flood Forecasting System</w:t>
            </w:r>
          </w:p>
        </w:tc>
        <w:tc>
          <w:tcPr>
            <w:tcW w:w="1418" w:type="dxa"/>
            <w:noWrap/>
            <w:hideMark/>
          </w:tcPr>
          <w:p w14:paraId="779303F3"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01/11/2020</w:t>
            </w:r>
          </w:p>
        </w:tc>
        <w:tc>
          <w:tcPr>
            <w:tcW w:w="992" w:type="dxa"/>
            <w:noWrap/>
            <w:hideMark/>
          </w:tcPr>
          <w:p w14:paraId="5E0B7D95"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79DDA427"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02/10/2020</w:t>
            </w:r>
          </w:p>
        </w:tc>
        <w:tc>
          <w:tcPr>
            <w:tcW w:w="1418" w:type="dxa"/>
            <w:noWrap/>
            <w:hideMark/>
          </w:tcPr>
          <w:p w14:paraId="46EF6301"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29,980.05</w:t>
            </w:r>
          </w:p>
        </w:tc>
      </w:tr>
      <w:tr w:rsidR="00C74952" w:rsidRPr="006802FE" w14:paraId="4407731F" w14:textId="77777777" w:rsidTr="006802FE">
        <w:trPr>
          <w:trHeight w:val="240"/>
        </w:trPr>
        <w:tc>
          <w:tcPr>
            <w:tcW w:w="5098" w:type="dxa"/>
            <w:noWrap/>
            <w:hideMark/>
          </w:tcPr>
          <w:p w14:paraId="2857D1E0"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Sophos Anti Virus Renewal</w:t>
            </w:r>
          </w:p>
        </w:tc>
        <w:tc>
          <w:tcPr>
            <w:tcW w:w="1418" w:type="dxa"/>
            <w:noWrap/>
            <w:hideMark/>
          </w:tcPr>
          <w:p w14:paraId="4C1B3BE4"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15/09/2022</w:t>
            </w:r>
          </w:p>
        </w:tc>
        <w:tc>
          <w:tcPr>
            <w:tcW w:w="992" w:type="dxa"/>
            <w:noWrap/>
            <w:hideMark/>
          </w:tcPr>
          <w:p w14:paraId="4BD57889"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577E1063"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17/07/2022</w:t>
            </w:r>
          </w:p>
        </w:tc>
        <w:tc>
          <w:tcPr>
            <w:tcW w:w="1418" w:type="dxa"/>
            <w:noWrap/>
            <w:hideMark/>
          </w:tcPr>
          <w:p w14:paraId="1A478008"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29,649.20</w:t>
            </w:r>
          </w:p>
        </w:tc>
      </w:tr>
      <w:tr w:rsidR="00C74952" w:rsidRPr="006802FE" w14:paraId="5BB99246" w14:textId="77777777" w:rsidTr="006802FE">
        <w:trPr>
          <w:trHeight w:val="240"/>
        </w:trPr>
        <w:tc>
          <w:tcPr>
            <w:tcW w:w="5098" w:type="dxa"/>
            <w:noWrap/>
            <w:hideMark/>
          </w:tcPr>
          <w:p w14:paraId="6CD83949"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iGas 7 Burner</w:t>
            </w:r>
          </w:p>
        </w:tc>
        <w:tc>
          <w:tcPr>
            <w:tcW w:w="1418" w:type="dxa"/>
            <w:noWrap/>
            <w:hideMark/>
          </w:tcPr>
          <w:p w14:paraId="3E1A9B3B"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31/03/2020</w:t>
            </w:r>
          </w:p>
        </w:tc>
        <w:tc>
          <w:tcPr>
            <w:tcW w:w="992" w:type="dxa"/>
            <w:noWrap/>
            <w:hideMark/>
          </w:tcPr>
          <w:p w14:paraId="1DC20E10"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38A2374E"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31/01/2020</w:t>
            </w:r>
          </w:p>
        </w:tc>
        <w:tc>
          <w:tcPr>
            <w:tcW w:w="1418" w:type="dxa"/>
            <w:noWrap/>
            <w:hideMark/>
          </w:tcPr>
          <w:p w14:paraId="42308DB8"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5,400.00</w:t>
            </w:r>
          </w:p>
        </w:tc>
      </w:tr>
      <w:tr w:rsidR="00C74952" w:rsidRPr="006802FE" w14:paraId="00179ED1" w14:textId="77777777" w:rsidTr="006802FE">
        <w:trPr>
          <w:trHeight w:val="240"/>
        </w:trPr>
        <w:tc>
          <w:tcPr>
            <w:tcW w:w="5098" w:type="dxa"/>
            <w:noWrap/>
            <w:hideMark/>
          </w:tcPr>
          <w:p w14:paraId="792D7DBD"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Osiris Dust Monitor Kit</w:t>
            </w:r>
          </w:p>
        </w:tc>
        <w:tc>
          <w:tcPr>
            <w:tcW w:w="1418" w:type="dxa"/>
            <w:noWrap/>
            <w:hideMark/>
          </w:tcPr>
          <w:p w14:paraId="613DB498"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31/03/2020</w:t>
            </w:r>
          </w:p>
        </w:tc>
        <w:tc>
          <w:tcPr>
            <w:tcW w:w="992" w:type="dxa"/>
            <w:noWrap/>
            <w:hideMark/>
          </w:tcPr>
          <w:p w14:paraId="17460BA7"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7539D6BD"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31/01/2020</w:t>
            </w:r>
          </w:p>
        </w:tc>
        <w:tc>
          <w:tcPr>
            <w:tcW w:w="1418" w:type="dxa"/>
            <w:noWrap/>
            <w:hideMark/>
          </w:tcPr>
          <w:p w14:paraId="46EFFF08"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7,840.00</w:t>
            </w:r>
          </w:p>
        </w:tc>
      </w:tr>
      <w:tr w:rsidR="00C74952" w:rsidRPr="006802FE" w14:paraId="1F18C3E5" w14:textId="77777777" w:rsidTr="006802FE">
        <w:trPr>
          <w:trHeight w:val="240"/>
        </w:trPr>
        <w:tc>
          <w:tcPr>
            <w:tcW w:w="5098" w:type="dxa"/>
            <w:noWrap/>
            <w:hideMark/>
          </w:tcPr>
          <w:p w14:paraId="2534614A"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Gasmet FTIR Analysers Maintenance</w:t>
            </w:r>
          </w:p>
        </w:tc>
        <w:tc>
          <w:tcPr>
            <w:tcW w:w="1418" w:type="dxa"/>
            <w:noWrap/>
            <w:hideMark/>
          </w:tcPr>
          <w:p w14:paraId="6585118C"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04/04/2020</w:t>
            </w:r>
          </w:p>
        </w:tc>
        <w:tc>
          <w:tcPr>
            <w:tcW w:w="992" w:type="dxa"/>
            <w:noWrap/>
            <w:hideMark/>
          </w:tcPr>
          <w:p w14:paraId="3CFF2225"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22CDA9B4"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05/03/2020</w:t>
            </w:r>
          </w:p>
        </w:tc>
        <w:tc>
          <w:tcPr>
            <w:tcW w:w="1418" w:type="dxa"/>
            <w:noWrap/>
            <w:hideMark/>
          </w:tcPr>
          <w:p w14:paraId="46F42413"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7,997.68</w:t>
            </w:r>
          </w:p>
        </w:tc>
      </w:tr>
      <w:tr w:rsidR="00C74952" w:rsidRPr="006802FE" w14:paraId="3A5A4AEE" w14:textId="77777777" w:rsidTr="006802FE">
        <w:trPr>
          <w:trHeight w:val="240"/>
        </w:trPr>
        <w:tc>
          <w:tcPr>
            <w:tcW w:w="5098" w:type="dxa"/>
            <w:noWrap/>
            <w:hideMark/>
          </w:tcPr>
          <w:p w14:paraId="141FFD9D"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UKAS 2020 Surveillance Visits</w:t>
            </w:r>
          </w:p>
        </w:tc>
        <w:tc>
          <w:tcPr>
            <w:tcW w:w="1418" w:type="dxa"/>
            <w:noWrap/>
            <w:hideMark/>
          </w:tcPr>
          <w:p w14:paraId="2A512636"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31/05/2020</w:t>
            </w:r>
          </w:p>
        </w:tc>
        <w:tc>
          <w:tcPr>
            <w:tcW w:w="992" w:type="dxa"/>
            <w:noWrap/>
            <w:hideMark/>
          </w:tcPr>
          <w:p w14:paraId="0633A59C"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066509CC"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01/05/2020</w:t>
            </w:r>
          </w:p>
        </w:tc>
        <w:tc>
          <w:tcPr>
            <w:tcW w:w="1418" w:type="dxa"/>
            <w:noWrap/>
            <w:hideMark/>
          </w:tcPr>
          <w:p w14:paraId="6D358C75"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26,222.75</w:t>
            </w:r>
          </w:p>
        </w:tc>
      </w:tr>
      <w:tr w:rsidR="00C74952" w:rsidRPr="006802FE" w14:paraId="4306FBB2" w14:textId="77777777" w:rsidTr="006802FE">
        <w:trPr>
          <w:trHeight w:val="240"/>
        </w:trPr>
        <w:tc>
          <w:tcPr>
            <w:tcW w:w="5098" w:type="dxa"/>
            <w:noWrap/>
            <w:hideMark/>
          </w:tcPr>
          <w:p w14:paraId="34F971FD"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RICT Rebuild &amp; Rehost</w:t>
            </w:r>
          </w:p>
        </w:tc>
        <w:tc>
          <w:tcPr>
            <w:tcW w:w="1418" w:type="dxa"/>
            <w:noWrap/>
            <w:hideMark/>
          </w:tcPr>
          <w:p w14:paraId="6096D578"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31/03/2020</w:t>
            </w:r>
          </w:p>
        </w:tc>
        <w:tc>
          <w:tcPr>
            <w:tcW w:w="992" w:type="dxa"/>
            <w:noWrap/>
            <w:hideMark/>
          </w:tcPr>
          <w:p w14:paraId="15883F47"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26F042BD"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31/01/2020</w:t>
            </w:r>
          </w:p>
        </w:tc>
        <w:tc>
          <w:tcPr>
            <w:tcW w:w="1418" w:type="dxa"/>
            <w:noWrap/>
            <w:hideMark/>
          </w:tcPr>
          <w:p w14:paraId="6A3D0C1F"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19,032.00</w:t>
            </w:r>
          </w:p>
        </w:tc>
      </w:tr>
      <w:tr w:rsidR="00C74952" w:rsidRPr="006802FE" w14:paraId="7A4810F8" w14:textId="77777777" w:rsidTr="006802FE">
        <w:trPr>
          <w:trHeight w:val="240"/>
        </w:trPr>
        <w:tc>
          <w:tcPr>
            <w:tcW w:w="5098" w:type="dxa"/>
            <w:noWrap/>
            <w:hideMark/>
          </w:tcPr>
          <w:p w14:paraId="7DF2ADDB"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WISKI servers upgrade for Cyber Essentials</w:t>
            </w:r>
          </w:p>
        </w:tc>
        <w:tc>
          <w:tcPr>
            <w:tcW w:w="1418" w:type="dxa"/>
            <w:noWrap/>
            <w:hideMark/>
          </w:tcPr>
          <w:p w14:paraId="6204B4B9"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09/08/2019</w:t>
            </w:r>
          </w:p>
        </w:tc>
        <w:tc>
          <w:tcPr>
            <w:tcW w:w="992" w:type="dxa"/>
            <w:noWrap/>
            <w:hideMark/>
          </w:tcPr>
          <w:p w14:paraId="69961B4F"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3EA29A70"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09/08/2019</w:t>
            </w:r>
          </w:p>
        </w:tc>
        <w:tc>
          <w:tcPr>
            <w:tcW w:w="1418" w:type="dxa"/>
            <w:noWrap/>
            <w:hideMark/>
          </w:tcPr>
          <w:p w14:paraId="7F0B9460"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9,915.00</w:t>
            </w:r>
          </w:p>
        </w:tc>
      </w:tr>
      <w:tr w:rsidR="00C74952" w:rsidRPr="006802FE" w14:paraId="2BBD62E0" w14:textId="77777777" w:rsidTr="006802FE">
        <w:trPr>
          <w:trHeight w:val="240"/>
        </w:trPr>
        <w:tc>
          <w:tcPr>
            <w:tcW w:w="5098" w:type="dxa"/>
            <w:noWrap/>
            <w:hideMark/>
          </w:tcPr>
          <w:p w14:paraId="39C00217"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Tuflow Modelling Software Support and Maintenance</w:t>
            </w:r>
          </w:p>
        </w:tc>
        <w:tc>
          <w:tcPr>
            <w:tcW w:w="1418" w:type="dxa"/>
            <w:noWrap/>
            <w:hideMark/>
          </w:tcPr>
          <w:p w14:paraId="161CF9E9"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31/03/2020</w:t>
            </w:r>
          </w:p>
        </w:tc>
        <w:tc>
          <w:tcPr>
            <w:tcW w:w="992" w:type="dxa"/>
            <w:noWrap/>
            <w:hideMark/>
          </w:tcPr>
          <w:p w14:paraId="70AC130B"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14637E11"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01/03/2020</w:t>
            </w:r>
          </w:p>
        </w:tc>
        <w:tc>
          <w:tcPr>
            <w:tcW w:w="1418" w:type="dxa"/>
            <w:noWrap/>
            <w:hideMark/>
          </w:tcPr>
          <w:p w14:paraId="47E80966"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15,481.88</w:t>
            </w:r>
          </w:p>
        </w:tc>
      </w:tr>
      <w:tr w:rsidR="00C74952" w:rsidRPr="006802FE" w14:paraId="1546F343" w14:textId="77777777" w:rsidTr="006802FE">
        <w:trPr>
          <w:trHeight w:val="240"/>
        </w:trPr>
        <w:tc>
          <w:tcPr>
            <w:tcW w:w="5098" w:type="dxa"/>
            <w:noWrap/>
            <w:hideMark/>
          </w:tcPr>
          <w:p w14:paraId="1B86F688"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Flood Modeller &amp; TUFLOW Annual Maintenance</w:t>
            </w:r>
          </w:p>
        </w:tc>
        <w:tc>
          <w:tcPr>
            <w:tcW w:w="1418" w:type="dxa"/>
            <w:noWrap/>
            <w:hideMark/>
          </w:tcPr>
          <w:p w14:paraId="23AC7A01"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31/03/2021</w:t>
            </w:r>
          </w:p>
        </w:tc>
        <w:tc>
          <w:tcPr>
            <w:tcW w:w="992" w:type="dxa"/>
            <w:noWrap/>
            <w:hideMark/>
          </w:tcPr>
          <w:p w14:paraId="2AD12D7D"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35CAE5EF"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30/01/2021</w:t>
            </w:r>
          </w:p>
        </w:tc>
        <w:tc>
          <w:tcPr>
            <w:tcW w:w="1418" w:type="dxa"/>
            <w:noWrap/>
            <w:hideMark/>
          </w:tcPr>
          <w:p w14:paraId="43E3CD47"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16,156.88</w:t>
            </w:r>
          </w:p>
        </w:tc>
      </w:tr>
      <w:tr w:rsidR="00C74952" w:rsidRPr="006802FE" w14:paraId="7FAEB6DA" w14:textId="77777777" w:rsidTr="006802FE">
        <w:trPr>
          <w:trHeight w:val="240"/>
        </w:trPr>
        <w:tc>
          <w:tcPr>
            <w:tcW w:w="5098" w:type="dxa"/>
            <w:noWrap/>
            <w:hideMark/>
          </w:tcPr>
          <w:p w14:paraId="5DEF1C57"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DNA Sequencer</w:t>
            </w:r>
          </w:p>
        </w:tc>
        <w:tc>
          <w:tcPr>
            <w:tcW w:w="1418" w:type="dxa"/>
            <w:noWrap/>
            <w:hideMark/>
          </w:tcPr>
          <w:p w14:paraId="391F2EFD"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31/03/2020</w:t>
            </w:r>
          </w:p>
        </w:tc>
        <w:tc>
          <w:tcPr>
            <w:tcW w:w="992" w:type="dxa"/>
            <w:noWrap/>
            <w:hideMark/>
          </w:tcPr>
          <w:p w14:paraId="7C5A83A3"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3778FB5A"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01/03/2020</w:t>
            </w:r>
          </w:p>
        </w:tc>
        <w:tc>
          <w:tcPr>
            <w:tcW w:w="1418" w:type="dxa"/>
            <w:noWrap/>
            <w:hideMark/>
          </w:tcPr>
          <w:p w14:paraId="374F7E58"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84,496.14</w:t>
            </w:r>
          </w:p>
        </w:tc>
      </w:tr>
      <w:tr w:rsidR="00C74952" w:rsidRPr="006802FE" w14:paraId="0737B79A" w14:textId="77777777" w:rsidTr="006802FE">
        <w:trPr>
          <w:trHeight w:val="240"/>
        </w:trPr>
        <w:tc>
          <w:tcPr>
            <w:tcW w:w="5098" w:type="dxa"/>
            <w:noWrap/>
            <w:hideMark/>
          </w:tcPr>
          <w:p w14:paraId="6CA9D4EF"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Underwater Camera</w:t>
            </w:r>
          </w:p>
        </w:tc>
        <w:tc>
          <w:tcPr>
            <w:tcW w:w="1418" w:type="dxa"/>
            <w:noWrap/>
            <w:hideMark/>
          </w:tcPr>
          <w:p w14:paraId="4A5ACBE3"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31/03/2020</w:t>
            </w:r>
          </w:p>
        </w:tc>
        <w:tc>
          <w:tcPr>
            <w:tcW w:w="992" w:type="dxa"/>
            <w:noWrap/>
            <w:hideMark/>
          </w:tcPr>
          <w:p w14:paraId="184C8F12"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4C196394"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17/03/2020</w:t>
            </w:r>
          </w:p>
        </w:tc>
        <w:tc>
          <w:tcPr>
            <w:tcW w:w="1418" w:type="dxa"/>
            <w:noWrap/>
            <w:hideMark/>
          </w:tcPr>
          <w:p w14:paraId="050E0DE5"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19,793.85</w:t>
            </w:r>
          </w:p>
        </w:tc>
      </w:tr>
      <w:tr w:rsidR="00C74952" w:rsidRPr="006802FE" w14:paraId="06A5B183" w14:textId="77777777" w:rsidTr="006802FE">
        <w:trPr>
          <w:trHeight w:val="240"/>
        </w:trPr>
        <w:tc>
          <w:tcPr>
            <w:tcW w:w="5098" w:type="dxa"/>
            <w:noWrap/>
            <w:hideMark/>
          </w:tcPr>
          <w:p w14:paraId="7F8B4544"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SODA Driver Configuration</w:t>
            </w:r>
          </w:p>
        </w:tc>
        <w:tc>
          <w:tcPr>
            <w:tcW w:w="1418" w:type="dxa"/>
            <w:noWrap/>
            <w:hideMark/>
          </w:tcPr>
          <w:p w14:paraId="1CED35FF"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31/03/2020</w:t>
            </w:r>
          </w:p>
        </w:tc>
        <w:tc>
          <w:tcPr>
            <w:tcW w:w="992" w:type="dxa"/>
            <w:noWrap/>
            <w:hideMark/>
          </w:tcPr>
          <w:p w14:paraId="533D2784"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6C21CF6A"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31/01/2020</w:t>
            </w:r>
          </w:p>
        </w:tc>
        <w:tc>
          <w:tcPr>
            <w:tcW w:w="1418" w:type="dxa"/>
            <w:noWrap/>
            <w:hideMark/>
          </w:tcPr>
          <w:p w14:paraId="681EF4E4"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7,560.00</w:t>
            </w:r>
          </w:p>
        </w:tc>
      </w:tr>
      <w:tr w:rsidR="00C74952" w:rsidRPr="006802FE" w14:paraId="0B75E30C" w14:textId="77777777" w:rsidTr="006802FE">
        <w:trPr>
          <w:trHeight w:val="240"/>
        </w:trPr>
        <w:tc>
          <w:tcPr>
            <w:tcW w:w="5098" w:type="dxa"/>
            <w:noWrap/>
            <w:hideMark/>
          </w:tcPr>
          <w:p w14:paraId="1D97AA89"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AQ Sensor Project</w:t>
            </w:r>
          </w:p>
        </w:tc>
        <w:tc>
          <w:tcPr>
            <w:tcW w:w="1418" w:type="dxa"/>
            <w:noWrap/>
            <w:hideMark/>
          </w:tcPr>
          <w:p w14:paraId="5E76093B"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02/03/2023</w:t>
            </w:r>
          </w:p>
        </w:tc>
        <w:tc>
          <w:tcPr>
            <w:tcW w:w="992" w:type="dxa"/>
            <w:noWrap/>
            <w:hideMark/>
          </w:tcPr>
          <w:p w14:paraId="714D16DD"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357314D9"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01/01/2023</w:t>
            </w:r>
          </w:p>
        </w:tc>
        <w:tc>
          <w:tcPr>
            <w:tcW w:w="1418" w:type="dxa"/>
            <w:noWrap/>
            <w:hideMark/>
          </w:tcPr>
          <w:p w14:paraId="1AF3865A"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45,250.00</w:t>
            </w:r>
          </w:p>
        </w:tc>
      </w:tr>
      <w:tr w:rsidR="00C74952" w:rsidRPr="006802FE" w14:paraId="3A40AE79" w14:textId="77777777" w:rsidTr="006802FE">
        <w:trPr>
          <w:trHeight w:val="240"/>
        </w:trPr>
        <w:tc>
          <w:tcPr>
            <w:tcW w:w="5098" w:type="dxa"/>
            <w:noWrap/>
            <w:hideMark/>
          </w:tcPr>
          <w:p w14:paraId="4493E740"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Met Office Evaporation Data Licence Renewal</w:t>
            </w:r>
          </w:p>
        </w:tc>
        <w:tc>
          <w:tcPr>
            <w:tcW w:w="1418" w:type="dxa"/>
            <w:noWrap/>
            <w:hideMark/>
          </w:tcPr>
          <w:p w14:paraId="791B5C50"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31/01/2021</w:t>
            </w:r>
          </w:p>
        </w:tc>
        <w:tc>
          <w:tcPr>
            <w:tcW w:w="992" w:type="dxa"/>
            <w:noWrap/>
            <w:hideMark/>
          </w:tcPr>
          <w:p w14:paraId="29B14FA4"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124913AF"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01/01/2021</w:t>
            </w:r>
          </w:p>
        </w:tc>
        <w:tc>
          <w:tcPr>
            <w:tcW w:w="1418" w:type="dxa"/>
            <w:noWrap/>
            <w:hideMark/>
          </w:tcPr>
          <w:p w14:paraId="1884D088"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5,235.40</w:t>
            </w:r>
          </w:p>
        </w:tc>
      </w:tr>
      <w:tr w:rsidR="00C74952" w:rsidRPr="006802FE" w14:paraId="2DE4D616" w14:textId="77777777" w:rsidTr="006802FE">
        <w:trPr>
          <w:trHeight w:val="240"/>
        </w:trPr>
        <w:tc>
          <w:tcPr>
            <w:tcW w:w="5098" w:type="dxa"/>
            <w:noWrap/>
            <w:hideMark/>
          </w:tcPr>
          <w:p w14:paraId="5E723338"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Low Flows Enterprise Support &amp; Maintenance</w:t>
            </w:r>
          </w:p>
        </w:tc>
        <w:tc>
          <w:tcPr>
            <w:tcW w:w="1418" w:type="dxa"/>
            <w:noWrap/>
            <w:hideMark/>
          </w:tcPr>
          <w:p w14:paraId="5E23CE53"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31/03/2021</w:t>
            </w:r>
          </w:p>
        </w:tc>
        <w:tc>
          <w:tcPr>
            <w:tcW w:w="992" w:type="dxa"/>
            <w:noWrap/>
            <w:hideMark/>
          </w:tcPr>
          <w:p w14:paraId="1EAF1DF8"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3F1D8870"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30/01/2021</w:t>
            </w:r>
          </w:p>
        </w:tc>
        <w:tc>
          <w:tcPr>
            <w:tcW w:w="1418" w:type="dxa"/>
            <w:noWrap/>
            <w:hideMark/>
          </w:tcPr>
          <w:p w14:paraId="6B080641"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10,909.00</w:t>
            </w:r>
          </w:p>
        </w:tc>
      </w:tr>
      <w:tr w:rsidR="00C74952" w:rsidRPr="006802FE" w14:paraId="7F8ABF87" w14:textId="77777777" w:rsidTr="006802FE">
        <w:trPr>
          <w:trHeight w:val="240"/>
        </w:trPr>
        <w:tc>
          <w:tcPr>
            <w:tcW w:w="5098" w:type="dxa"/>
            <w:noWrap/>
            <w:hideMark/>
          </w:tcPr>
          <w:p w14:paraId="3EF5E82D"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PAC &amp; Fluoride Analysis Software Upgrade</w:t>
            </w:r>
          </w:p>
        </w:tc>
        <w:tc>
          <w:tcPr>
            <w:tcW w:w="1418" w:type="dxa"/>
            <w:noWrap/>
            <w:hideMark/>
          </w:tcPr>
          <w:p w14:paraId="7AD8EC8C"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31/01/2020</w:t>
            </w:r>
          </w:p>
        </w:tc>
        <w:tc>
          <w:tcPr>
            <w:tcW w:w="992" w:type="dxa"/>
            <w:noWrap/>
            <w:hideMark/>
          </w:tcPr>
          <w:p w14:paraId="6EF7ADC5"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2ED24299"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01/01/2020</w:t>
            </w:r>
          </w:p>
        </w:tc>
        <w:tc>
          <w:tcPr>
            <w:tcW w:w="1418" w:type="dxa"/>
            <w:noWrap/>
            <w:hideMark/>
          </w:tcPr>
          <w:p w14:paraId="5351ADF0"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6,515.40</w:t>
            </w:r>
          </w:p>
        </w:tc>
      </w:tr>
      <w:tr w:rsidR="00C74952" w:rsidRPr="006802FE" w14:paraId="370A96A1" w14:textId="77777777" w:rsidTr="006802FE">
        <w:trPr>
          <w:trHeight w:val="240"/>
        </w:trPr>
        <w:tc>
          <w:tcPr>
            <w:tcW w:w="5098" w:type="dxa"/>
            <w:noWrap/>
            <w:hideMark/>
          </w:tcPr>
          <w:p w14:paraId="08E29B1A"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ICS Ion Chromatorgraph PM</w:t>
            </w:r>
          </w:p>
        </w:tc>
        <w:tc>
          <w:tcPr>
            <w:tcW w:w="1418" w:type="dxa"/>
            <w:noWrap/>
            <w:hideMark/>
          </w:tcPr>
          <w:p w14:paraId="7864EE10"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31/12/2020</w:t>
            </w:r>
          </w:p>
        </w:tc>
        <w:tc>
          <w:tcPr>
            <w:tcW w:w="992" w:type="dxa"/>
            <w:noWrap/>
            <w:hideMark/>
          </w:tcPr>
          <w:p w14:paraId="530DCFCD"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53E9CC34"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01/11/2020</w:t>
            </w:r>
          </w:p>
        </w:tc>
        <w:tc>
          <w:tcPr>
            <w:tcW w:w="1418" w:type="dxa"/>
            <w:noWrap/>
            <w:hideMark/>
          </w:tcPr>
          <w:p w14:paraId="4B4BD3D6"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7,868.32</w:t>
            </w:r>
          </w:p>
        </w:tc>
      </w:tr>
      <w:tr w:rsidR="00C74952" w:rsidRPr="006802FE" w14:paraId="7CBDF122" w14:textId="77777777" w:rsidTr="006802FE">
        <w:trPr>
          <w:trHeight w:val="240"/>
        </w:trPr>
        <w:tc>
          <w:tcPr>
            <w:tcW w:w="5098" w:type="dxa"/>
            <w:noWrap/>
            <w:hideMark/>
          </w:tcPr>
          <w:p w14:paraId="2C4168D2"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Salt Dilution Kits</w:t>
            </w:r>
          </w:p>
        </w:tc>
        <w:tc>
          <w:tcPr>
            <w:tcW w:w="1418" w:type="dxa"/>
            <w:noWrap/>
            <w:hideMark/>
          </w:tcPr>
          <w:p w14:paraId="645EFAF5"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31/03/2020</w:t>
            </w:r>
          </w:p>
        </w:tc>
        <w:tc>
          <w:tcPr>
            <w:tcW w:w="992" w:type="dxa"/>
            <w:noWrap/>
            <w:hideMark/>
          </w:tcPr>
          <w:p w14:paraId="2ACE6B76"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4BFD5B45"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01/03/2020</w:t>
            </w:r>
          </w:p>
        </w:tc>
        <w:tc>
          <w:tcPr>
            <w:tcW w:w="1418" w:type="dxa"/>
            <w:noWrap/>
            <w:hideMark/>
          </w:tcPr>
          <w:p w14:paraId="51A331E5"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30,300.00</w:t>
            </w:r>
          </w:p>
        </w:tc>
      </w:tr>
      <w:tr w:rsidR="00C74952" w:rsidRPr="006802FE" w14:paraId="41DB618E" w14:textId="77777777" w:rsidTr="006802FE">
        <w:trPr>
          <w:trHeight w:val="240"/>
        </w:trPr>
        <w:tc>
          <w:tcPr>
            <w:tcW w:w="5098" w:type="dxa"/>
            <w:noWrap/>
            <w:hideMark/>
          </w:tcPr>
          <w:p w14:paraId="1DD8A87A"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Spotfire Licences S&amp;M</w:t>
            </w:r>
          </w:p>
        </w:tc>
        <w:tc>
          <w:tcPr>
            <w:tcW w:w="1418" w:type="dxa"/>
            <w:noWrap/>
            <w:hideMark/>
          </w:tcPr>
          <w:p w14:paraId="1BC4255E"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24/03/2021</w:t>
            </w:r>
          </w:p>
        </w:tc>
        <w:tc>
          <w:tcPr>
            <w:tcW w:w="992" w:type="dxa"/>
            <w:noWrap/>
            <w:hideMark/>
          </w:tcPr>
          <w:p w14:paraId="4EDA40D8"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25F67311"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23/01/2021</w:t>
            </w:r>
          </w:p>
        </w:tc>
        <w:tc>
          <w:tcPr>
            <w:tcW w:w="1418" w:type="dxa"/>
            <w:noWrap/>
            <w:hideMark/>
          </w:tcPr>
          <w:p w14:paraId="7AA9096C"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53,250.00</w:t>
            </w:r>
          </w:p>
        </w:tc>
      </w:tr>
      <w:tr w:rsidR="00C74952" w:rsidRPr="006802FE" w14:paraId="4705833E" w14:textId="77777777" w:rsidTr="006802FE">
        <w:trPr>
          <w:trHeight w:val="240"/>
        </w:trPr>
        <w:tc>
          <w:tcPr>
            <w:tcW w:w="5098" w:type="dxa"/>
            <w:noWrap/>
            <w:hideMark/>
          </w:tcPr>
          <w:p w14:paraId="183A5F07"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Spotfire Annual Software Maintenance</w:t>
            </w:r>
          </w:p>
        </w:tc>
        <w:tc>
          <w:tcPr>
            <w:tcW w:w="1418" w:type="dxa"/>
            <w:noWrap/>
            <w:hideMark/>
          </w:tcPr>
          <w:p w14:paraId="125C4C3D"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23/02/2021</w:t>
            </w:r>
          </w:p>
        </w:tc>
        <w:tc>
          <w:tcPr>
            <w:tcW w:w="992" w:type="dxa"/>
            <w:noWrap/>
            <w:hideMark/>
          </w:tcPr>
          <w:p w14:paraId="79E57894"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734FBD59"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23/02/2021</w:t>
            </w:r>
          </w:p>
        </w:tc>
        <w:tc>
          <w:tcPr>
            <w:tcW w:w="1418" w:type="dxa"/>
            <w:noWrap/>
            <w:hideMark/>
          </w:tcPr>
          <w:p w14:paraId="551FFBA3"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77,382.00</w:t>
            </w:r>
          </w:p>
        </w:tc>
      </w:tr>
      <w:tr w:rsidR="00C74952" w:rsidRPr="006802FE" w14:paraId="26D10AF3" w14:textId="77777777" w:rsidTr="006802FE">
        <w:trPr>
          <w:trHeight w:val="240"/>
        </w:trPr>
        <w:tc>
          <w:tcPr>
            <w:tcW w:w="5098" w:type="dxa"/>
            <w:noWrap/>
            <w:hideMark/>
          </w:tcPr>
          <w:p w14:paraId="3988B1FF"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River Carron &amp; Forth, Aberfoyle Survey</w:t>
            </w:r>
          </w:p>
        </w:tc>
        <w:tc>
          <w:tcPr>
            <w:tcW w:w="1418" w:type="dxa"/>
            <w:noWrap/>
            <w:hideMark/>
          </w:tcPr>
          <w:p w14:paraId="4C21609F"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10/04/2020</w:t>
            </w:r>
          </w:p>
        </w:tc>
        <w:tc>
          <w:tcPr>
            <w:tcW w:w="992" w:type="dxa"/>
            <w:noWrap/>
            <w:hideMark/>
          </w:tcPr>
          <w:p w14:paraId="37849D90"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759D6311"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11/03/2020</w:t>
            </w:r>
          </w:p>
        </w:tc>
        <w:tc>
          <w:tcPr>
            <w:tcW w:w="1418" w:type="dxa"/>
            <w:noWrap/>
            <w:hideMark/>
          </w:tcPr>
          <w:p w14:paraId="31EE8780"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24,750.00</w:t>
            </w:r>
          </w:p>
        </w:tc>
      </w:tr>
      <w:tr w:rsidR="00C74952" w:rsidRPr="006802FE" w14:paraId="5D13A172" w14:textId="77777777" w:rsidTr="006802FE">
        <w:trPr>
          <w:trHeight w:val="240"/>
        </w:trPr>
        <w:tc>
          <w:tcPr>
            <w:tcW w:w="5098" w:type="dxa"/>
            <w:noWrap/>
            <w:hideMark/>
          </w:tcPr>
          <w:p w14:paraId="3C9DD0C3"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Ayr and Annick River FF System</w:t>
            </w:r>
          </w:p>
        </w:tc>
        <w:tc>
          <w:tcPr>
            <w:tcW w:w="1418" w:type="dxa"/>
            <w:noWrap/>
            <w:hideMark/>
          </w:tcPr>
          <w:p w14:paraId="0D5EA36E"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30/11/2019</w:t>
            </w:r>
          </w:p>
        </w:tc>
        <w:tc>
          <w:tcPr>
            <w:tcW w:w="992" w:type="dxa"/>
            <w:noWrap/>
            <w:hideMark/>
          </w:tcPr>
          <w:p w14:paraId="02B07D98"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47CEE066"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31/10/2019</w:t>
            </w:r>
          </w:p>
        </w:tc>
        <w:tc>
          <w:tcPr>
            <w:tcW w:w="1418" w:type="dxa"/>
            <w:noWrap/>
            <w:hideMark/>
          </w:tcPr>
          <w:p w14:paraId="66837B07"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70,843.08</w:t>
            </w:r>
          </w:p>
        </w:tc>
      </w:tr>
      <w:tr w:rsidR="00C74952" w:rsidRPr="006802FE" w14:paraId="481317AF" w14:textId="77777777" w:rsidTr="006802FE">
        <w:trPr>
          <w:trHeight w:val="240"/>
        </w:trPr>
        <w:tc>
          <w:tcPr>
            <w:tcW w:w="5098" w:type="dxa"/>
            <w:noWrap/>
            <w:hideMark/>
          </w:tcPr>
          <w:p w14:paraId="55256D73"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FHRC Middle University MCM licence acquisition</w:t>
            </w:r>
          </w:p>
        </w:tc>
        <w:tc>
          <w:tcPr>
            <w:tcW w:w="1418" w:type="dxa"/>
            <w:noWrap/>
            <w:hideMark/>
          </w:tcPr>
          <w:p w14:paraId="17E4C938"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30/04/2020</w:t>
            </w:r>
          </w:p>
        </w:tc>
        <w:tc>
          <w:tcPr>
            <w:tcW w:w="992" w:type="dxa"/>
            <w:noWrap/>
            <w:hideMark/>
          </w:tcPr>
          <w:p w14:paraId="3F082729"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36D3241D"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01/03/2020</w:t>
            </w:r>
          </w:p>
        </w:tc>
        <w:tc>
          <w:tcPr>
            <w:tcW w:w="1418" w:type="dxa"/>
            <w:noWrap/>
            <w:hideMark/>
          </w:tcPr>
          <w:p w14:paraId="5D1D4CAB"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20,000.00</w:t>
            </w:r>
          </w:p>
        </w:tc>
      </w:tr>
      <w:tr w:rsidR="00C74952" w:rsidRPr="006802FE" w14:paraId="373350D3" w14:textId="77777777" w:rsidTr="006802FE">
        <w:trPr>
          <w:trHeight w:val="240"/>
        </w:trPr>
        <w:tc>
          <w:tcPr>
            <w:tcW w:w="5098" w:type="dxa"/>
            <w:noWrap/>
            <w:hideMark/>
          </w:tcPr>
          <w:p w14:paraId="1F806D11"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CEH 900 Licence</w:t>
            </w:r>
          </w:p>
        </w:tc>
        <w:tc>
          <w:tcPr>
            <w:tcW w:w="1418" w:type="dxa"/>
            <w:noWrap/>
            <w:hideMark/>
          </w:tcPr>
          <w:p w14:paraId="1CE4EC83"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31/03/2020</w:t>
            </w:r>
          </w:p>
        </w:tc>
        <w:tc>
          <w:tcPr>
            <w:tcW w:w="992" w:type="dxa"/>
            <w:noWrap/>
            <w:hideMark/>
          </w:tcPr>
          <w:p w14:paraId="15520E12"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07F29006"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31/01/2020</w:t>
            </w:r>
          </w:p>
        </w:tc>
        <w:tc>
          <w:tcPr>
            <w:tcW w:w="1418" w:type="dxa"/>
            <w:noWrap/>
            <w:hideMark/>
          </w:tcPr>
          <w:p w14:paraId="7F8BF497"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25,056.88</w:t>
            </w:r>
          </w:p>
        </w:tc>
      </w:tr>
      <w:tr w:rsidR="00C74952" w:rsidRPr="006802FE" w14:paraId="76BC38D9" w14:textId="77777777" w:rsidTr="006802FE">
        <w:trPr>
          <w:trHeight w:val="240"/>
        </w:trPr>
        <w:tc>
          <w:tcPr>
            <w:tcW w:w="5098" w:type="dxa"/>
            <w:noWrap/>
            <w:hideMark/>
          </w:tcPr>
          <w:p w14:paraId="46B06DD1"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CEH 828 Licence</w:t>
            </w:r>
          </w:p>
        </w:tc>
        <w:tc>
          <w:tcPr>
            <w:tcW w:w="1418" w:type="dxa"/>
            <w:noWrap/>
            <w:hideMark/>
          </w:tcPr>
          <w:p w14:paraId="7971C97B"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31/03/2020</w:t>
            </w:r>
          </w:p>
        </w:tc>
        <w:tc>
          <w:tcPr>
            <w:tcW w:w="992" w:type="dxa"/>
            <w:noWrap/>
            <w:hideMark/>
          </w:tcPr>
          <w:p w14:paraId="1D4B7CBB"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73FCCDF3"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31/01/2020</w:t>
            </w:r>
          </w:p>
        </w:tc>
        <w:tc>
          <w:tcPr>
            <w:tcW w:w="1418" w:type="dxa"/>
            <w:noWrap/>
            <w:hideMark/>
          </w:tcPr>
          <w:p w14:paraId="4475D013"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28,084.38</w:t>
            </w:r>
          </w:p>
        </w:tc>
      </w:tr>
      <w:tr w:rsidR="00C74952" w:rsidRPr="006802FE" w14:paraId="65B76705" w14:textId="77777777" w:rsidTr="006802FE">
        <w:trPr>
          <w:trHeight w:val="240"/>
        </w:trPr>
        <w:tc>
          <w:tcPr>
            <w:tcW w:w="5098" w:type="dxa"/>
            <w:noWrap/>
            <w:hideMark/>
          </w:tcPr>
          <w:p w14:paraId="2DDDD5C5"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CEH 828 &amp; 900 Licences</w:t>
            </w:r>
          </w:p>
        </w:tc>
        <w:tc>
          <w:tcPr>
            <w:tcW w:w="1418" w:type="dxa"/>
            <w:noWrap/>
            <w:hideMark/>
          </w:tcPr>
          <w:p w14:paraId="325EA0A3"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31/03/2021</w:t>
            </w:r>
          </w:p>
        </w:tc>
        <w:tc>
          <w:tcPr>
            <w:tcW w:w="992" w:type="dxa"/>
            <w:noWrap/>
            <w:hideMark/>
          </w:tcPr>
          <w:p w14:paraId="73455E49"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473F04E4"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30/01/2021</w:t>
            </w:r>
          </w:p>
        </w:tc>
        <w:tc>
          <w:tcPr>
            <w:tcW w:w="1418" w:type="dxa"/>
            <w:noWrap/>
            <w:hideMark/>
          </w:tcPr>
          <w:p w14:paraId="57AB67BB"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56,472.95</w:t>
            </w:r>
          </w:p>
        </w:tc>
      </w:tr>
      <w:tr w:rsidR="00C74952" w:rsidRPr="006802FE" w14:paraId="69E72FE2" w14:textId="77777777" w:rsidTr="006802FE">
        <w:trPr>
          <w:trHeight w:val="240"/>
        </w:trPr>
        <w:tc>
          <w:tcPr>
            <w:tcW w:w="5098" w:type="dxa"/>
            <w:noWrap/>
            <w:hideMark/>
          </w:tcPr>
          <w:p w14:paraId="47F80ED8"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National FRM Appraisal Contract</w:t>
            </w:r>
          </w:p>
        </w:tc>
        <w:tc>
          <w:tcPr>
            <w:tcW w:w="1418" w:type="dxa"/>
            <w:noWrap/>
            <w:hideMark/>
          </w:tcPr>
          <w:p w14:paraId="125E611E"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30/06/2020</w:t>
            </w:r>
          </w:p>
        </w:tc>
        <w:tc>
          <w:tcPr>
            <w:tcW w:w="992" w:type="dxa"/>
            <w:noWrap/>
            <w:hideMark/>
          </w:tcPr>
          <w:p w14:paraId="49C07DE9"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78AB2E74"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01/05/2020</w:t>
            </w:r>
          </w:p>
        </w:tc>
        <w:tc>
          <w:tcPr>
            <w:tcW w:w="1418" w:type="dxa"/>
            <w:noWrap/>
            <w:hideMark/>
          </w:tcPr>
          <w:p w14:paraId="5A221E09"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696,982.50</w:t>
            </w:r>
          </w:p>
        </w:tc>
      </w:tr>
      <w:tr w:rsidR="00C74952" w:rsidRPr="006802FE" w14:paraId="4BFB6AEF" w14:textId="77777777" w:rsidTr="006802FE">
        <w:trPr>
          <w:trHeight w:val="240"/>
        </w:trPr>
        <w:tc>
          <w:tcPr>
            <w:tcW w:w="5098" w:type="dxa"/>
            <w:noWrap/>
            <w:hideMark/>
          </w:tcPr>
          <w:p w14:paraId="6524F187"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MIKE Marine Modelling Software Maintenance (SMA)</w:t>
            </w:r>
          </w:p>
        </w:tc>
        <w:tc>
          <w:tcPr>
            <w:tcW w:w="1418" w:type="dxa"/>
            <w:noWrap/>
            <w:hideMark/>
          </w:tcPr>
          <w:p w14:paraId="5552AE9E"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21/02/2021</w:t>
            </w:r>
          </w:p>
        </w:tc>
        <w:tc>
          <w:tcPr>
            <w:tcW w:w="992" w:type="dxa"/>
            <w:noWrap/>
            <w:hideMark/>
          </w:tcPr>
          <w:p w14:paraId="6001D6C9"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4199D2BB"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23/12/2020</w:t>
            </w:r>
          </w:p>
        </w:tc>
        <w:tc>
          <w:tcPr>
            <w:tcW w:w="1418" w:type="dxa"/>
            <w:noWrap/>
            <w:hideMark/>
          </w:tcPr>
          <w:p w14:paraId="4536377C"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16,107.86</w:t>
            </w:r>
          </w:p>
        </w:tc>
      </w:tr>
      <w:tr w:rsidR="00C74952" w:rsidRPr="006802FE" w14:paraId="7F7A5193" w14:textId="77777777" w:rsidTr="006802FE">
        <w:trPr>
          <w:trHeight w:val="240"/>
        </w:trPr>
        <w:tc>
          <w:tcPr>
            <w:tcW w:w="5098" w:type="dxa"/>
            <w:noWrap/>
            <w:hideMark/>
          </w:tcPr>
          <w:p w14:paraId="07423954"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Pulse Security Gateway</w:t>
            </w:r>
          </w:p>
        </w:tc>
        <w:tc>
          <w:tcPr>
            <w:tcW w:w="1418" w:type="dxa"/>
            <w:noWrap/>
            <w:hideMark/>
          </w:tcPr>
          <w:p w14:paraId="129E1194"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31/03/2023</w:t>
            </w:r>
          </w:p>
        </w:tc>
        <w:tc>
          <w:tcPr>
            <w:tcW w:w="992" w:type="dxa"/>
            <w:noWrap/>
            <w:hideMark/>
          </w:tcPr>
          <w:p w14:paraId="551507DF"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22DBDD31"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30/01/2023</w:t>
            </w:r>
          </w:p>
        </w:tc>
        <w:tc>
          <w:tcPr>
            <w:tcW w:w="1418" w:type="dxa"/>
            <w:noWrap/>
            <w:hideMark/>
          </w:tcPr>
          <w:p w14:paraId="67C158D8"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5,961.82</w:t>
            </w:r>
          </w:p>
        </w:tc>
      </w:tr>
      <w:tr w:rsidR="00C74952" w:rsidRPr="006802FE" w14:paraId="54D8B70F" w14:textId="77777777" w:rsidTr="006802FE">
        <w:trPr>
          <w:trHeight w:val="240"/>
        </w:trPr>
        <w:tc>
          <w:tcPr>
            <w:tcW w:w="5098" w:type="dxa"/>
            <w:noWrap/>
            <w:hideMark/>
          </w:tcPr>
          <w:p w14:paraId="12985EF4"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RSA SecureID</w:t>
            </w:r>
          </w:p>
        </w:tc>
        <w:tc>
          <w:tcPr>
            <w:tcW w:w="1418" w:type="dxa"/>
            <w:noWrap/>
            <w:hideMark/>
          </w:tcPr>
          <w:p w14:paraId="7A7F7581"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30/01/2023</w:t>
            </w:r>
          </w:p>
        </w:tc>
        <w:tc>
          <w:tcPr>
            <w:tcW w:w="992" w:type="dxa"/>
            <w:noWrap/>
            <w:hideMark/>
          </w:tcPr>
          <w:p w14:paraId="06CBBEEB"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5167E3F5"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01/12/2022</w:t>
            </w:r>
          </w:p>
        </w:tc>
        <w:tc>
          <w:tcPr>
            <w:tcW w:w="1418" w:type="dxa"/>
            <w:noWrap/>
            <w:hideMark/>
          </w:tcPr>
          <w:p w14:paraId="19A11CC0"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8,269.39</w:t>
            </w:r>
          </w:p>
        </w:tc>
      </w:tr>
      <w:tr w:rsidR="00C74952" w:rsidRPr="006802FE" w14:paraId="77A6EFAB" w14:textId="77777777" w:rsidTr="006802FE">
        <w:trPr>
          <w:trHeight w:val="240"/>
        </w:trPr>
        <w:tc>
          <w:tcPr>
            <w:tcW w:w="5098" w:type="dxa"/>
            <w:noWrap/>
            <w:hideMark/>
          </w:tcPr>
          <w:p w14:paraId="18F394F7"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Maintenance for RSA Appliance and Authentication Manager</w:t>
            </w:r>
          </w:p>
        </w:tc>
        <w:tc>
          <w:tcPr>
            <w:tcW w:w="1418" w:type="dxa"/>
            <w:noWrap/>
            <w:hideMark/>
          </w:tcPr>
          <w:p w14:paraId="53A68B64"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18/04/2020</w:t>
            </w:r>
          </w:p>
        </w:tc>
        <w:tc>
          <w:tcPr>
            <w:tcW w:w="992" w:type="dxa"/>
            <w:noWrap/>
            <w:hideMark/>
          </w:tcPr>
          <w:p w14:paraId="373E55FE"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6D75C2DE"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18/02/2020</w:t>
            </w:r>
          </w:p>
        </w:tc>
        <w:tc>
          <w:tcPr>
            <w:tcW w:w="1418" w:type="dxa"/>
            <w:noWrap/>
            <w:hideMark/>
          </w:tcPr>
          <w:p w14:paraId="59C1B76E"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9,102.50</w:t>
            </w:r>
          </w:p>
        </w:tc>
      </w:tr>
      <w:tr w:rsidR="00C74952" w:rsidRPr="006802FE" w14:paraId="5DEBEAA3" w14:textId="77777777" w:rsidTr="006802FE">
        <w:trPr>
          <w:trHeight w:val="240"/>
        </w:trPr>
        <w:tc>
          <w:tcPr>
            <w:tcW w:w="5098" w:type="dxa"/>
            <w:noWrap/>
            <w:hideMark/>
          </w:tcPr>
          <w:p w14:paraId="5A4564DC"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Cyber Security Consultancy</w:t>
            </w:r>
          </w:p>
        </w:tc>
        <w:tc>
          <w:tcPr>
            <w:tcW w:w="1418" w:type="dxa"/>
            <w:noWrap/>
            <w:hideMark/>
          </w:tcPr>
          <w:p w14:paraId="333B41EF"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31/03/2021</w:t>
            </w:r>
          </w:p>
        </w:tc>
        <w:tc>
          <w:tcPr>
            <w:tcW w:w="992" w:type="dxa"/>
            <w:noWrap/>
            <w:hideMark/>
          </w:tcPr>
          <w:p w14:paraId="035D4AE4"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2D0EB0DF"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01/12/2020</w:t>
            </w:r>
          </w:p>
        </w:tc>
        <w:tc>
          <w:tcPr>
            <w:tcW w:w="1418" w:type="dxa"/>
            <w:noWrap/>
            <w:hideMark/>
          </w:tcPr>
          <w:p w14:paraId="27A41CA7"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10,080.00</w:t>
            </w:r>
          </w:p>
        </w:tc>
      </w:tr>
      <w:tr w:rsidR="00C74952" w:rsidRPr="006802FE" w14:paraId="68F09B20" w14:textId="77777777" w:rsidTr="006802FE">
        <w:trPr>
          <w:trHeight w:val="240"/>
        </w:trPr>
        <w:tc>
          <w:tcPr>
            <w:tcW w:w="5098" w:type="dxa"/>
            <w:noWrap/>
            <w:hideMark/>
          </w:tcPr>
          <w:p w14:paraId="3E95635B"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Video External Gateway Maintenance</w:t>
            </w:r>
          </w:p>
        </w:tc>
        <w:tc>
          <w:tcPr>
            <w:tcW w:w="1418" w:type="dxa"/>
            <w:noWrap/>
            <w:hideMark/>
          </w:tcPr>
          <w:p w14:paraId="0411625E"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19/03/2021</w:t>
            </w:r>
          </w:p>
        </w:tc>
        <w:tc>
          <w:tcPr>
            <w:tcW w:w="992" w:type="dxa"/>
            <w:noWrap/>
            <w:hideMark/>
          </w:tcPr>
          <w:p w14:paraId="29F76E7E"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1456900C"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18/01/2021</w:t>
            </w:r>
          </w:p>
        </w:tc>
        <w:tc>
          <w:tcPr>
            <w:tcW w:w="1418" w:type="dxa"/>
            <w:noWrap/>
            <w:hideMark/>
          </w:tcPr>
          <w:p w14:paraId="57E0DFA5"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14,099.77</w:t>
            </w:r>
          </w:p>
        </w:tc>
      </w:tr>
      <w:tr w:rsidR="00C74952" w:rsidRPr="006802FE" w14:paraId="01BC1AF1" w14:textId="77777777" w:rsidTr="006802FE">
        <w:trPr>
          <w:trHeight w:val="240"/>
        </w:trPr>
        <w:tc>
          <w:tcPr>
            <w:tcW w:w="5098" w:type="dxa"/>
            <w:noWrap/>
            <w:hideMark/>
          </w:tcPr>
          <w:p w14:paraId="717C00D3"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RSA Secure Demand Maintenance</w:t>
            </w:r>
          </w:p>
        </w:tc>
        <w:tc>
          <w:tcPr>
            <w:tcW w:w="1418" w:type="dxa"/>
            <w:noWrap/>
            <w:hideMark/>
          </w:tcPr>
          <w:p w14:paraId="3D389590"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30/03/2021</w:t>
            </w:r>
          </w:p>
        </w:tc>
        <w:tc>
          <w:tcPr>
            <w:tcW w:w="992" w:type="dxa"/>
            <w:noWrap/>
            <w:hideMark/>
          </w:tcPr>
          <w:p w14:paraId="3ECE9958"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16DD8B41"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29/01/2021</w:t>
            </w:r>
          </w:p>
        </w:tc>
        <w:tc>
          <w:tcPr>
            <w:tcW w:w="1418" w:type="dxa"/>
            <w:noWrap/>
            <w:hideMark/>
          </w:tcPr>
          <w:p w14:paraId="4C33FEA0"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14,414.33</w:t>
            </w:r>
          </w:p>
        </w:tc>
      </w:tr>
      <w:tr w:rsidR="00C74952" w:rsidRPr="006802FE" w14:paraId="32321192" w14:textId="77777777" w:rsidTr="006802FE">
        <w:trPr>
          <w:trHeight w:val="240"/>
        </w:trPr>
        <w:tc>
          <w:tcPr>
            <w:tcW w:w="5098" w:type="dxa"/>
            <w:noWrap/>
            <w:hideMark/>
          </w:tcPr>
          <w:p w14:paraId="286248B9"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Restorepoint</w:t>
            </w:r>
          </w:p>
        </w:tc>
        <w:tc>
          <w:tcPr>
            <w:tcW w:w="1418" w:type="dxa"/>
            <w:noWrap/>
            <w:hideMark/>
          </w:tcPr>
          <w:p w14:paraId="5D8CAB63"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13/02/2023</w:t>
            </w:r>
          </w:p>
        </w:tc>
        <w:tc>
          <w:tcPr>
            <w:tcW w:w="992" w:type="dxa"/>
            <w:noWrap/>
            <w:hideMark/>
          </w:tcPr>
          <w:p w14:paraId="7897DF0F"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75554A71"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13/02/2023</w:t>
            </w:r>
          </w:p>
        </w:tc>
        <w:tc>
          <w:tcPr>
            <w:tcW w:w="1418" w:type="dxa"/>
            <w:noWrap/>
            <w:hideMark/>
          </w:tcPr>
          <w:p w14:paraId="6415C4F7"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16,911.74</w:t>
            </w:r>
          </w:p>
        </w:tc>
      </w:tr>
      <w:tr w:rsidR="00C74952" w:rsidRPr="006802FE" w14:paraId="39D75FA7" w14:textId="77777777" w:rsidTr="006802FE">
        <w:trPr>
          <w:trHeight w:val="240"/>
        </w:trPr>
        <w:tc>
          <w:tcPr>
            <w:tcW w:w="5098" w:type="dxa"/>
            <w:noWrap/>
            <w:hideMark/>
          </w:tcPr>
          <w:p w14:paraId="45D8DFB6"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Cisco Support Agreement</w:t>
            </w:r>
          </w:p>
        </w:tc>
        <w:tc>
          <w:tcPr>
            <w:tcW w:w="1418" w:type="dxa"/>
            <w:noWrap/>
            <w:hideMark/>
          </w:tcPr>
          <w:p w14:paraId="2C0B2282"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28/02/2021</w:t>
            </w:r>
          </w:p>
        </w:tc>
        <w:tc>
          <w:tcPr>
            <w:tcW w:w="992" w:type="dxa"/>
            <w:noWrap/>
            <w:hideMark/>
          </w:tcPr>
          <w:p w14:paraId="4237A374"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6B8664E4"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30/12/2020</w:t>
            </w:r>
          </w:p>
        </w:tc>
        <w:tc>
          <w:tcPr>
            <w:tcW w:w="1418" w:type="dxa"/>
            <w:noWrap/>
            <w:hideMark/>
          </w:tcPr>
          <w:p w14:paraId="1DD9712C"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20,238.04</w:t>
            </w:r>
          </w:p>
        </w:tc>
      </w:tr>
      <w:tr w:rsidR="00C74952" w:rsidRPr="006802FE" w14:paraId="6ED09A98" w14:textId="77777777" w:rsidTr="006802FE">
        <w:trPr>
          <w:trHeight w:val="240"/>
        </w:trPr>
        <w:tc>
          <w:tcPr>
            <w:tcW w:w="5098" w:type="dxa"/>
            <w:noWrap/>
            <w:hideMark/>
          </w:tcPr>
          <w:p w14:paraId="167D6C20"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Service Support Agreement - Softcat</w:t>
            </w:r>
          </w:p>
        </w:tc>
        <w:tc>
          <w:tcPr>
            <w:tcW w:w="1418" w:type="dxa"/>
            <w:noWrap/>
            <w:hideMark/>
          </w:tcPr>
          <w:p w14:paraId="64A9D506"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24/02/2023</w:t>
            </w:r>
          </w:p>
        </w:tc>
        <w:tc>
          <w:tcPr>
            <w:tcW w:w="992" w:type="dxa"/>
            <w:noWrap/>
            <w:hideMark/>
          </w:tcPr>
          <w:p w14:paraId="625E395E"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53CBC475"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26/12/2022</w:t>
            </w:r>
          </w:p>
        </w:tc>
        <w:tc>
          <w:tcPr>
            <w:tcW w:w="1418" w:type="dxa"/>
            <w:noWrap/>
            <w:hideMark/>
          </w:tcPr>
          <w:p w14:paraId="4B3C9944"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25,500.00</w:t>
            </w:r>
          </w:p>
        </w:tc>
      </w:tr>
      <w:tr w:rsidR="00C74952" w:rsidRPr="006802FE" w14:paraId="6BB102A0" w14:textId="77777777" w:rsidTr="006802FE">
        <w:trPr>
          <w:trHeight w:val="240"/>
        </w:trPr>
        <w:tc>
          <w:tcPr>
            <w:tcW w:w="5098" w:type="dxa"/>
            <w:noWrap/>
            <w:hideMark/>
          </w:tcPr>
          <w:p w14:paraId="53C7B1B4"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Data Centre Hosting</w:t>
            </w:r>
          </w:p>
        </w:tc>
        <w:tc>
          <w:tcPr>
            <w:tcW w:w="1418" w:type="dxa"/>
            <w:noWrap/>
            <w:hideMark/>
          </w:tcPr>
          <w:p w14:paraId="2EF9233A"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30/03/2021</w:t>
            </w:r>
          </w:p>
        </w:tc>
        <w:tc>
          <w:tcPr>
            <w:tcW w:w="992" w:type="dxa"/>
            <w:noWrap/>
            <w:hideMark/>
          </w:tcPr>
          <w:p w14:paraId="26C943EF"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123FF5D4"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29/01/2021</w:t>
            </w:r>
          </w:p>
        </w:tc>
        <w:tc>
          <w:tcPr>
            <w:tcW w:w="1418" w:type="dxa"/>
            <w:noWrap/>
            <w:hideMark/>
          </w:tcPr>
          <w:p w14:paraId="3AC67CDD"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26,320.58</w:t>
            </w:r>
          </w:p>
        </w:tc>
      </w:tr>
      <w:tr w:rsidR="00C74952" w:rsidRPr="006802FE" w14:paraId="36F3092C" w14:textId="77777777" w:rsidTr="006802FE">
        <w:trPr>
          <w:trHeight w:val="240"/>
        </w:trPr>
        <w:tc>
          <w:tcPr>
            <w:tcW w:w="5098" w:type="dxa"/>
            <w:noWrap/>
            <w:hideMark/>
          </w:tcPr>
          <w:p w14:paraId="00BE93E3"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Raydan Professional Services</w:t>
            </w:r>
          </w:p>
        </w:tc>
        <w:tc>
          <w:tcPr>
            <w:tcW w:w="1418" w:type="dxa"/>
            <w:noWrap/>
            <w:hideMark/>
          </w:tcPr>
          <w:p w14:paraId="2A3C2456"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08/07/2020</w:t>
            </w:r>
          </w:p>
        </w:tc>
        <w:tc>
          <w:tcPr>
            <w:tcW w:w="992" w:type="dxa"/>
            <w:noWrap/>
            <w:hideMark/>
          </w:tcPr>
          <w:p w14:paraId="604ACBE9"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24</w:t>
            </w:r>
          </w:p>
        </w:tc>
        <w:tc>
          <w:tcPr>
            <w:tcW w:w="1559" w:type="dxa"/>
            <w:noWrap/>
            <w:hideMark/>
          </w:tcPr>
          <w:p w14:paraId="307D98BA"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09/05/2020</w:t>
            </w:r>
          </w:p>
        </w:tc>
        <w:tc>
          <w:tcPr>
            <w:tcW w:w="1418" w:type="dxa"/>
            <w:noWrap/>
            <w:hideMark/>
          </w:tcPr>
          <w:p w14:paraId="5D58E917"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27,835.50</w:t>
            </w:r>
          </w:p>
        </w:tc>
      </w:tr>
      <w:tr w:rsidR="00C74952" w:rsidRPr="006802FE" w14:paraId="6E72477F" w14:textId="77777777" w:rsidTr="006802FE">
        <w:trPr>
          <w:trHeight w:val="240"/>
        </w:trPr>
        <w:tc>
          <w:tcPr>
            <w:tcW w:w="5098" w:type="dxa"/>
            <w:noWrap/>
            <w:hideMark/>
          </w:tcPr>
          <w:p w14:paraId="24B3B374"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lastRenderedPageBreak/>
              <w:t>Egress Software Licence and Support</w:t>
            </w:r>
          </w:p>
        </w:tc>
        <w:tc>
          <w:tcPr>
            <w:tcW w:w="1418" w:type="dxa"/>
            <w:noWrap/>
            <w:hideMark/>
          </w:tcPr>
          <w:p w14:paraId="1CF83425"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31/03/2023</w:t>
            </w:r>
          </w:p>
        </w:tc>
        <w:tc>
          <w:tcPr>
            <w:tcW w:w="992" w:type="dxa"/>
            <w:noWrap/>
            <w:hideMark/>
          </w:tcPr>
          <w:p w14:paraId="78F54275"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74038C98"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30/01/2023</w:t>
            </w:r>
          </w:p>
        </w:tc>
        <w:tc>
          <w:tcPr>
            <w:tcW w:w="1418" w:type="dxa"/>
            <w:noWrap/>
            <w:hideMark/>
          </w:tcPr>
          <w:p w14:paraId="47359A6E"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31,161.00</w:t>
            </w:r>
          </w:p>
        </w:tc>
      </w:tr>
      <w:tr w:rsidR="00C74952" w:rsidRPr="006802FE" w14:paraId="19C26064" w14:textId="77777777" w:rsidTr="006802FE">
        <w:trPr>
          <w:trHeight w:val="240"/>
        </w:trPr>
        <w:tc>
          <w:tcPr>
            <w:tcW w:w="5098" w:type="dxa"/>
            <w:noWrap/>
            <w:hideMark/>
          </w:tcPr>
          <w:p w14:paraId="312DD5AA"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Cisco Voice Gateways</w:t>
            </w:r>
          </w:p>
        </w:tc>
        <w:tc>
          <w:tcPr>
            <w:tcW w:w="1418" w:type="dxa"/>
            <w:noWrap/>
            <w:hideMark/>
          </w:tcPr>
          <w:p w14:paraId="466A9E6B"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13/02/2021</w:t>
            </w:r>
          </w:p>
        </w:tc>
        <w:tc>
          <w:tcPr>
            <w:tcW w:w="992" w:type="dxa"/>
            <w:noWrap/>
            <w:hideMark/>
          </w:tcPr>
          <w:p w14:paraId="034C498A"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20ADDE5E"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15/12/2020</w:t>
            </w:r>
          </w:p>
        </w:tc>
        <w:tc>
          <w:tcPr>
            <w:tcW w:w="1418" w:type="dxa"/>
            <w:noWrap/>
            <w:hideMark/>
          </w:tcPr>
          <w:p w14:paraId="49388E92"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41,695.02</w:t>
            </w:r>
          </w:p>
        </w:tc>
      </w:tr>
      <w:tr w:rsidR="00C74952" w:rsidRPr="006802FE" w14:paraId="56768815" w14:textId="77777777" w:rsidTr="006802FE">
        <w:trPr>
          <w:trHeight w:val="240"/>
        </w:trPr>
        <w:tc>
          <w:tcPr>
            <w:tcW w:w="5098" w:type="dxa"/>
            <w:noWrap/>
            <w:hideMark/>
          </w:tcPr>
          <w:p w14:paraId="50F89EA4"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PSN Connect Service</w:t>
            </w:r>
          </w:p>
        </w:tc>
        <w:tc>
          <w:tcPr>
            <w:tcW w:w="1418" w:type="dxa"/>
            <w:noWrap/>
            <w:hideMark/>
          </w:tcPr>
          <w:p w14:paraId="6CEAC9E6"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31/03/2021</w:t>
            </w:r>
          </w:p>
        </w:tc>
        <w:tc>
          <w:tcPr>
            <w:tcW w:w="992" w:type="dxa"/>
            <w:noWrap/>
            <w:hideMark/>
          </w:tcPr>
          <w:p w14:paraId="065071F9"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573102D8"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31/12/2020</w:t>
            </w:r>
          </w:p>
        </w:tc>
        <w:tc>
          <w:tcPr>
            <w:tcW w:w="1418" w:type="dxa"/>
            <w:noWrap/>
            <w:hideMark/>
          </w:tcPr>
          <w:p w14:paraId="0E470AD0"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59,756.00</w:t>
            </w:r>
          </w:p>
        </w:tc>
      </w:tr>
      <w:tr w:rsidR="00C74952" w:rsidRPr="006802FE" w14:paraId="1A0E50BE" w14:textId="77777777" w:rsidTr="006802FE">
        <w:trPr>
          <w:trHeight w:val="240"/>
        </w:trPr>
        <w:tc>
          <w:tcPr>
            <w:tcW w:w="5098" w:type="dxa"/>
            <w:noWrap/>
            <w:hideMark/>
          </w:tcPr>
          <w:p w14:paraId="1C4F6227"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Cisco Video Security Gateway Package</w:t>
            </w:r>
          </w:p>
        </w:tc>
        <w:tc>
          <w:tcPr>
            <w:tcW w:w="1418" w:type="dxa"/>
            <w:noWrap/>
            <w:hideMark/>
          </w:tcPr>
          <w:p w14:paraId="2C752173"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31/03/2020</w:t>
            </w:r>
          </w:p>
        </w:tc>
        <w:tc>
          <w:tcPr>
            <w:tcW w:w="992" w:type="dxa"/>
            <w:noWrap/>
            <w:hideMark/>
          </w:tcPr>
          <w:p w14:paraId="249103DC"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6A4DC28C"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31/01/2020</w:t>
            </w:r>
          </w:p>
        </w:tc>
        <w:tc>
          <w:tcPr>
            <w:tcW w:w="1418" w:type="dxa"/>
            <w:noWrap/>
            <w:hideMark/>
          </w:tcPr>
          <w:p w14:paraId="442D5478"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84,015.50</w:t>
            </w:r>
          </w:p>
        </w:tc>
      </w:tr>
      <w:tr w:rsidR="00C74952" w:rsidRPr="006802FE" w14:paraId="052AC21E" w14:textId="77777777" w:rsidTr="006802FE">
        <w:trPr>
          <w:trHeight w:val="240"/>
        </w:trPr>
        <w:tc>
          <w:tcPr>
            <w:tcW w:w="5098" w:type="dxa"/>
            <w:noWrap/>
            <w:hideMark/>
          </w:tcPr>
          <w:p w14:paraId="323C5800"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Outer Hebrides Coast - Land survey</w:t>
            </w:r>
          </w:p>
        </w:tc>
        <w:tc>
          <w:tcPr>
            <w:tcW w:w="1418" w:type="dxa"/>
            <w:noWrap/>
            <w:hideMark/>
          </w:tcPr>
          <w:p w14:paraId="5008BCB5"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31/12/2019</w:t>
            </w:r>
          </w:p>
        </w:tc>
        <w:tc>
          <w:tcPr>
            <w:tcW w:w="992" w:type="dxa"/>
            <w:noWrap/>
            <w:hideMark/>
          </w:tcPr>
          <w:p w14:paraId="7A3C5B3E"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78856483"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01/12/2019</w:t>
            </w:r>
          </w:p>
        </w:tc>
        <w:tc>
          <w:tcPr>
            <w:tcW w:w="1418" w:type="dxa"/>
            <w:noWrap/>
            <w:hideMark/>
          </w:tcPr>
          <w:p w14:paraId="306DF3B2"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24,828.00</w:t>
            </w:r>
          </w:p>
        </w:tc>
      </w:tr>
      <w:tr w:rsidR="00C74952" w:rsidRPr="006802FE" w14:paraId="6FACD25D" w14:textId="77777777" w:rsidTr="006802FE">
        <w:trPr>
          <w:trHeight w:val="240"/>
        </w:trPr>
        <w:tc>
          <w:tcPr>
            <w:tcW w:w="5098" w:type="dxa"/>
            <w:noWrap/>
            <w:hideMark/>
          </w:tcPr>
          <w:p w14:paraId="5465B331"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Arial Imagery Contract 2019/20 Payment</w:t>
            </w:r>
          </w:p>
        </w:tc>
        <w:tc>
          <w:tcPr>
            <w:tcW w:w="1418" w:type="dxa"/>
            <w:noWrap/>
            <w:hideMark/>
          </w:tcPr>
          <w:p w14:paraId="5C9844C7"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31/03/2021</w:t>
            </w:r>
          </w:p>
        </w:tc>
        <w:tc>
          <w:tcPr>
            <w:tcW w:w="992" w:type="dxa"/>
            <w:noWrap/>
            <w:hideMark/>
          </w:tcPr>
          <w:p w14:paraId="5893684C"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2A151BEE"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30/01/2021</w:t>
            </w:r>
          </w:p>
        </w:tc>
        <w:tc>
          <w:tcPr>
            <w:tcW w:w="1418" w:type="dxa"/>
            <w:noWrap/>
            <w:hideMark/>
          </w:tcPr>
          <w:p w14:paraId="06DD37A8"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14,099.00</w:t>
            </w:r>
          </w:p>
        </w:tc>
      </w:tr>
      <w:tr w:rsidR="00C74952" w:rsidRPr="006802FE" w14:paraId="00B49C1B" w14:textId="77777777" w:rsidTr="006802FE">
        <w:trPr>
          <w:trHeight w:val="240"/>
        </w:trPr>
        <w:tc>
          <w:tcPr>
            <w:tcW w:w="5098" w:type="dxa"/>
            <w:noWrap/>
            <w:hideMark/>
          </w:tcPr>
          <w:p w14:paraId="540F2BAD"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Seric Call Handling Support</w:t>
            </w:r>
          </w:p>
        </w:tc>
        <w:tc>
          <w:tcPr>
            <w:tcW w:w="1418" w:type="dxa"/>
            <w:noWrap/>
            <w:hideMark/>
          </w:tcPr>
          <w:p w14:paraId="650B6948"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31/12/2020</w:t>
            </w:r>
          </w:p>
        </w:tc>
        <w:tc>
          <w:tcPr>
            <w:tcW w:w="992" w:type="dxa"/>
            <w:noWrap/>
            <w:hideMark/>
          </w:tcPr>
          <w:p w14:paraId="01D2DC68"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115E2ED1"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01/12/2020</w:t>
            </w:r>
          </w:p>
        </w:tc>
        <w:tc>
          <w:tcPr>
            <w:tcW w:w="1418" w:type="dxa"/>
            <w:noWrap/>
            <w:hideMark/>
          </w:tcPr>
          <w:p w14:paraId="6536C1C5"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18,354.00</w:t>
            </w:r>
          </w:p>
        </w:tc>
      </w:tr>
      <w:tr w:rsidR="00C74952" w:rsidRPr="006802FE" w14:paraId="7E19D6EC" w14:textId="77777777" w:rsidTr="006802FE">
        <w:trPr>
          <w:trHeight w:val="240"/>
        </w:trPr>
        <w:tc>
          <w:tcPr>
            <w:tcW w:w="5098" w:type="dxa"/>
            <w:noWrap/>
            <w:hideMark/>
          </w:tcPr>
          <w:p w14:paraId="2BD55CC0"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Active Directory Servers rollour to SEPA offices</w:t>
            </w:r>
          </w:p>
        </w:tc>
        <w:tc>
          <w:tcPr>
            <w:tcW w:w="1418" w:type="dxa"/>
            <w:noWrap/>
            <w:hideMark/>
          </w:tcPr>
          <w:p w14:paraId="3353FA48"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11/02/2023</w:t>
            </w:r>
          </w:p>
        </w:tc>
        <w:tc>
          <w:tcPr>
            <w:tcW w:w="992" w:type="dxa"/>
            <w:noWrap/>
            <w:hideMark/>
          </w:tcPr>
          <w:p w14:paraId="37B57AE7"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shd w:val="clear" w:color="auto" w:fill="auto"/>
            <w:noWrap/>
            <w:hideMark/>
          </w:tcPr>
          <w:p w14:paraId="4838D0D6"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31/03/2020</w:t>
            </w:r>
          </w:p>
        </w:tc>
        <w:tc>
          <w:tcPr>
            <w:tcW w:w="1418" w:type="dxa"/>
            <w:noWrap/>
            <w:hideMark/>
          </w:tcPr>
          <w:p w14:paraId="46B08CE4"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19,644.26</w:t>
            </w:r>
          </w:p>
        </w:tc>
      </w:tr>
      <w:tr w:rsidR="00C74952" w:rsidRPr="006802FE" w14:paraId="7F3254DD" w14:textId="77777777" w:rsidTr="006802FE">
        <w:trPr>
          <w:trHeight w:val="240"/>
        </w:trPr>
        <w:tc>
          <w:tcPr>
            <w:tcW w:w="5098" w:type="dxa"/>
            <w:noWrap/>
            <w:hideMark/>
          </w:tcPr>
          <w:p w14:paraId="4057229B"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Netcall EDRMS Licence for Serengeti</w:t>
            </w:r>
          </w:p>
        </w:tc>
        <w:tc>
          <w:tcPr>
            <w:tcW w:w="1418" w:type="dxa"/>
            <w:noWrap/>
            <w:hideMark/>
          </w:tcPr>
          <w:p w14:paraId="69D76C59"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25/02/2021</w:t>
            </w:r>
          </w:p>
        </w:tc>
        <w:tc>
          <w:tcPr>
            <w:tcW w:w="992" w:type="dxa"/>
            <w:noWrap/>
            <w:hideMark/>
          </w:tcPr>
          <w:p w14:paraId="08647C96"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120C2956"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27/12/2020</w:t>
            </w:r>
          </w:p>
        </w:tc>
        <w:tc>
          <w:tcPr>
            <w:tcW w:w="1418" w:type="dxa"/>
            <w:noWrap/>
            <w:hideMark/>
          </w:tcPr>
          <w:p w14:paraId="779A8D79"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22,734.00</w:t>
            </w:r>
          </w:p>
        </w:tc>
      </w:tr>
      <w:tr w:rsidR="00C74952" w:rsidRPr="006802FE" w14:paraId="79C6C4D8" w14:textId="77777777" w:rsidTr="006802FE">
        <w:trPr>
          <w:trHeight w:val="240"/>
        </w:trPr>
        <w:tc>
          <w:tcPr>
            <w:tcW w:w="5098" w:type="dxa"/>
            <w:noWrap/>
            <w:hideMark/>
          </w:tcPr>
          <w:p w14:paraId="48EE9081"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Pure Warranty Support</w:t>
            </w:r>
          </w:p>
        </w:tc>
        <w:tc>
          <w:tcPr>
            <w:tcW w:w="1418" w:type="dxa"/>
            <w:noWrap/>
            <w:hideMark/>
          </w:tcPr>
          <w:p w14:paraId="032A8633"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30/04/2021</w:t>
            </w:r>
          </w:p>
        </w:tc>
        <w:tc>
          <w:tcPr>
            <w:tcW w:w="992" w:type="dxa"/>
            <w:noWrap/>
            <w:hideMark/>
          </w:tcPr>
          <w:p w14:paraId="116B0422"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518A4945"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01/03/2021</w:t>
            </w:r>
          </w:p>
        </w:tc>
        <w:tc>
          <w:tcPr>
            <w:tcW w:w="1418" w:type="dxa"/>
            <w:noWrap/>
            <w:hideMark/>
          </w:tcPr>
          <w:p w14:paraId="4129C065"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24,926.88</w:t>
            </w:r>
          </w:p>
        </w:tc>
      </w:tr>
      <w:tr w:rsidR="00C74952" w:rsidRPr="006802FE" w14:paraId="40B21A0A" w14:textId="77777777" w:rsidTr="006802FE">
        <w:trPr>
          <w:trHeight w:val="240"/>
        </w:trPr>
        <w:tc>
          <w:tcPr>
            <w:tcW w:w="5098" w:type="dxa"/>
            <w:noWrap/>
            <w:hideMark/>
          </w:tcPr>
          <w:p w14:paraId="597A90B9"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Laptops Refurbished</w:t>
            </w:r>
          </w:p>
        </w:tc>
        <w:tc>
          <w:tcPr>
            <w:tcW w:w="1418" w:type="dxa"/>
            <w:noWrap/>
            <w:hideMark/>
          </w:tcPr>
          <w:p w14:paraId="4E0EE598"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31/03/2020</w:t>
            </w:r>
          </w:p>
        </w:tc>
        <w:tc>
          <w:tcPr>
            <w:tcW w:w="992" w:type="dxa"/>
            <w:noWrap/>
            <w:hideMark/>
          </w:tcPr>
          <w:p w14:paraId="2C8AD0A3"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6472BD94"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31/01/2020</w:t>
            </w:r>
          </w:p>
        </w:tc>
        <w:tc>
          <w:tcPr>
            <w:tcW w:w="1418" w:type="dxa"/>
            <w:noWrap/>
            <w:hideMark/>
          </w:tcPr>
          <w:p w14:paraId="20DFB1BB"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28,000.00</w:t>
            </w:r>
          </w:p>
        </w:tc>
      </w:tr>
      <w:tr w:rsidR="00C74952" w:rsidRPr="006802FE" w14:paraId="1A34A0F8" w14:textId="77777777" w:rsidTr="006802FE">
        <w:trPr>
          <w:trHeight w:val="240"/>
        </w:trPr>
        <w:tc>
          <w:tcPr>
            <w:tcW w:w="5098" w:type="dxa"/>
            <w:noWrap/>
            <w:hideMark/>
          </w:tcPr>
          <w:p w14:paraId="0B9DD9F0"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NetHelpDesk Maintenance &amp; Support incl Webapp</w:t>
            </w:r>
          </w:p>
        </w:tc>
        <w:tc>
          <w:tcPr>
            <w:tcW w:w="1418" w:type="dxa"/>
            <w:noWrap/>
            <w:hideMark/>
          </w:tcPr>
          <w:p w14:paraId="41BE79AB"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25/03/2021</w:t>
            </w:r>
          </w:p>
        </w:tc>
        <w:tc>
          <w:tcPr>
            <w:tcW w:w="992" w:type="dxa"/>
            <w:noWrap/>
            <w:hideMark/>
          </w:tcPr>
          <w:p w14:paraId="434E78C7"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347C3419"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24/01/2021</w:t>
            </w:r>
          </w:p>
        </w:tc>
        <w:tc>
          <w:tcPr>
            <w:tcW w:w="1418" w:type="dxa"/>
            <w:noWrap/>
            <w:hideMark/>
          </w:tcPr>
          <w:p w14:paraId="1BE779B4"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30,363.46</w:t>
            </w:r>
          </w:p>
        </w:tc>
      </w:tr>
      <w:tr w:rsidR="00C74952" w:rsidRPr="006802FE" w14:paraId="3D248546" w14:textId="77777777" w:rsidTr="006802FE">
        <w:trPr>
          <w:trHeight w:val="240"/>
        </w:trPr>
        <w:tc>
          <w:tcPr>
            <w:tcW w:w="5098" w:type="dxa"/>
            <w:noWrap/>
            <w:hideMark/>
          </w:tcPr>
          <w:p w14:paraId="701014DF"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Panasonic Laptops</w:t>
            </w:r>
          </w:p>
        </w:tc>
        <w:tc>
          <w:tcPr>
            <w:tcW w:w="1418" w:type="dxa"/>
            <w:noWrap/>
            <w:hideMark/>
          </w:tcPr>
          <w:p w14:paraId="33FD937E"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31/03/2020</w:t>
            </w:r>
          </w:p>
        </w:tc>
        <w:tc>
          <w:tcPr>
            <w:tcW w:w="992" w:type="dxa"/>
            <w:noWrap/>
            <w:hideMark/>
          </w:tcPr>
          <w:p w14:paraId="22101294"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shd w:val="clear" w:color="auto" w:fill="auto"/>
            <w:noWrap/>
            <w:hideMark/>
          </w:tcPr>
          <w:p w14:paraId="5DA58E62"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31/03/2020</w:t>
            </w:r>
          </w:p>
        </w:tc>
        <w:tc>
          <w:tcPr>
            <w:tcW w:w="1418" w:type="dxa"/>
            <w:noWrap/>
            <w:hideMark/>
          </w:tcPr>
          <w:p w14:paraId="33541E8B"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32,401.00</w:t>
            </w:r>
          </w:p>
        </w:tc>
      </w:tr>
      <w:tr w:rsidR="00C74952" w:rsidRPr="006802FE" w14:paraId="524E8599" w14:textId="77777777" w:rsidTr="006802FE">
        <w:trPr>
          <w:trHeight w:val="240"/>
        </w:trPr>
        <w:tc>
          <w:tcPr>
            <w:tcW w:w="5098" w:type="dxa"/>
            <w:noWrap/>
            <w:hideMark/>
          </w:tcPr>
          <w:p w14:paraId="3D19B2E9"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Lenovo Service Suite</w:t>
            </w:r>
          </w:p>
        </w:tc>
        <w:tc>
          <w:tcPr>
            <w:tcW w:w="1418" w:type="dxa"/>
            <w:noWrap/>
            <w:hideMark/>
          </w:tcPr>
          <w:p w14:paraId="1DF15E60"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14/01/2021</w:t>
            </w:r>
          </w:p>
        </w:tc>
        <w:tc>
          <w:tcPr>
            <w:tcW w:w="992" w:type="dxa"/>
            <w:noWrap/>
            <w:hideMark/>
          </w:tcPr>
          <w:p w14:paraId="4FBE5886"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5456E9BD"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15/11/2020</w:t>
            </w:r>
          </w:p>
        </w:tc>
        <w:tc>
          <w:tcPr>
            <w:tcW w:w="1418" w:type="dxa"/>
            <w:noWrap/>
            <w:hideMark/>
          </w:tcPr>
          <w:p w14:paraId="2551E86E"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35,158.80</w:t>
            </w:r>
          </w:p>
        </w:tc>
      </w:tr>
      <w:tr w:rsidR="00C74952" w:rsidRPr="006802FE" w14:paraId="22098F74" w14:textId="77777777" w:rsidTr="006802FE">
        <w:trPr>
          <w:trHeight w:val="240"/>
        </w:trPr>
        <w:tc>
          <w:tcPr>
            <w:tcW w:w="5098" w:type="dxa"/>
            <w:noWrap/>
            <w:hideMark/>
          </w:tcPr>
          <w:p w14:paraId="29681CEB"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IBM Storage for V7000</w:t>
            </w:r>
          </w:p>
        </w:tc>
        <w:tc>
          <w:tcPr>
            <w:tcW w:w="1418" w:type="dxa"/>
            <w:noWrap/>
            <w:hideMark/>
          </w:tcPr>
          <w:p w14:paraId="1A2A3126"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28/02/2021</w:t>
            </w:r>
          </w:p>
        </w:tc>
        <w:tc>
          <w:tcPr>
            <w:tcW w:w="992" w:type="dxa"/>
            <w:noWrap/>
            <w:hideMark/>
          </w:tcPr>
          <w:p w14:paraId="5FAC471C"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6F30E1DF"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30/12/2020</w:t>
            </w:r>
          </w:p>
        </w:tc>
        <w:tc>
          <w:tcPr>
            <w:tcW w:w="1418" w:type="dxa"/>
            <w:noWrap/>
            <w:hideMark/>
          </w:tcPr>
          <w:p w14:paraId="41562D02"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40,752.17</w:t>
            </w:r>
          </w:p>
        </w:tc>
      </w:tr>
      <w:tr w:rsidR="00C74952" w:rsidRPr="006802FE" w14:paraId="75EA6E26" w14:textId="77777777" w:rsidTr="006802FE">
        <w:trPr>
          <w:trHeight w:val="240"/>
        </w:trPr>
        <w:tc>
          <w:tcPr>
            <w:tcW w:w="5098" w:type="dxa"/>
            <w:noWrap/>
            <w:hideMark/>
          </w:tcPr>
          <w:p w14:paraId="63D113EE"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Labware, LIMS Maintenance &amp; Support</w:t>
            </w:r>
          </w:p>
        </w:tc>
        <w:tc>
          <w:tcPr>
            <w:tcW w:w="1418" w:type="dxa"/>
            <w:noWrap/>
            <w:hideMark/>
          </w:tcPr>
          <w:p w14:paraId="66F6738A"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31/01/2021</w:t>
            </w:r>
          </w:p>
        </w:tc>
        <w:tc>
          <w:tcPr>
            <w:tcW w:w="992" w:type="dxa"/>
            <w:noWrap/>
            <w:hideMark/>
          </w:tcPr>
          <w:p w14:paraId="17BB6C6C"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0C3B254F"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02/12/2020</w:t>
            </w:r>
          </w:p>
        </w:tc>
        <w:tc>
          <w:tcPr>
            <w:tcW w:w="1418" w:type="dxa"/>
            <w:noWrap/>
            <w:hideMark/>
          </w:tcPr>
          <w:p w14:paraId="5412F268"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48,622.00</w:t>
            </w:r>
          </w:p>
        </w:tc>
      </w:tr>
      <w:tr w:rsidR="00C74952" w:rsidRPr="006802FE" w14:paraId="74E476DF" w14:textId="77777777" w:rsidTr="006802FE">
        <w:trPr>
          <w:trHeight w:val="240"/>
        </w:trPr>
        <w:tc>
          <w:tcPr>
            <w:tcW w:w="5098" w:type="dxa"/>
            <w:noWrap/>
            <w:hideMark/>
          </w:tcPr>
          <w:p w14:paraId="3D909700"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Oracle ULA Support Agreement 2019-20</w:t>
            </w:r>
          </w:p>
        </w:tc>
        <w:tc>
          <w:tcPr>
            <w:tcW w:w="1418" w:type="dxa"/>
            <w:noWrap/>
            <w:hideMark/>
          </w:tcPr>
          <w:p w14:paraId="6EFDA3C1"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31/03/2020</w:t>
            </w:r>
          </w:p>
        </w:tc>
        <w:tc>
          <w:tcPr>
            <w:tcW w:w="992" w:type="dxa"/>
            <w:noWrap/>
            <w:hideMark/>
          </w:tcPr>
          <w:p w14:paraId="13800B44"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323CF5C3"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05/07/2019</w:t>
            </w:r>
          </w:p>
        </w:tc>
        <w:tc>
          <w:tcPr>
            <w:tcW w:w="1418" w:type="dxa"/>
            <w:noWrap/>
            <w:hideMark/>
          </w:tcPr>
          <w:p w14:paraId="67AD0D4F"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84,712.42</w:t>
            </w:r>
          </w:p>
        </w:tc>
      </w:tr>
      <w:tr w:rsidR="00C74952" w:rsidRPr="006802FE" w14:paraId="104D627F" w14:textId="77777777" w:rsidTr="006802FE">
        <w:trPr>
          <w:trHeight w:val="240"/>
        </w:trPr>
        <w:tc>
          <w:tcPr>
            <w:tcW w:w="5098" w:type="dxa"/>
            <w:noWrap/>
            <w:hideMark/>
          </w:tcPr>
          <w:p w14:paraId="7BB14DC8"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Vodafone Narrowband IoT Project</w:t>
            </w:r>
          </w:p>
        </w:tc>
        <w:tc>
          <w:tcPr>
            <w:tcW w:w="1418" w:type="dxa"/>
            <w:noWrap/>
            <w:hideMark/>
          </w:tcPr>
          <w:p w14:paraId="5C01ECC3"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30/03/2022</w:t>
            </w:r>
          </w:p>
        </w:tc>
        <w:tc>
          <w:tcPr>
            <w:tcW w:w="992" w:type="dxa"/>
            <w:noWrap/>
            <w:hideMark/>
          </w:tcPr>
          <w:p w14:paraId="50E4DF76"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775D9DE9"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30/11/2021</w:t>
            </w:r>
          </w:p>
        </w:tc>
        <w:tc>
          <w:tcPr>
            <w:tcW w:w="1418" w:type="dxa"/>
            <w:noWrap/>
            <w:hideMark/>
          </w:tcPr>
          <w:p w14:paraId="5D7FF100"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101,328.00</w:t>
            </w:r>
          </w:p>
        </w:tc>
      </w:tr>
      <w:tr w:rsidR="00C74952" w:rsidRPr="006802FE" w14:paraId="05F03A4A" w14:textId="77777777" w:rsidTr="006802FE">
        <w:trPr>
          <w:trHeight w:val="240"/>
        </w:trPr>
        <w:tc>
          <w:tcPr>
            <w:tcW w:w="5098" w:type="dxa"/>
            <w:noWrap/>
            <w:hideMark/>
          </w:tcPr>
          <w:p w14:paraId="03C85F48"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Pure Storage Expanson</w:t>
            </w:r>
          </w:p>
        </w:tc>
        <w:tc>
          <w:tcPr>
            <w:tcW w:w="1418" w:type="dxa"/>
            <w:noWrap/>
            <w:hideMark/>
          </w:tcPr>
          <w:p w14:paraId="38FC0906"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29/01/2021</w:t>
            </w:r>
          </w:p>
        </w:tc>
        <w:tc>
          <w:tcPr>
            <w:tcW w:w="992" w:type="dxa"/>
            <w:noWrap/>
            <w:hideMark/>
          </w:tcPr>
          <w:p w14:paraId="37F30A0A"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01D4F9D4"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30/12/2020</w:t>
            </w:r>
          </w:p>
        </w:tc>
        <w:tc>
          <w:tcPr>
            <w:tcW w:w="1418" w:type="dxa"/>
            <w:noWrap/>
            <w:hideMark/>
          </w:tcPr>
          <w:p w14:paraId="6280E579"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110,549.64</w:t>
            </w:r>
          </w:p>
        </w:tc>
      </w:tr>
      <w:tr w:rsidR="00C74952" w:rsidRPr="006802FE" w14:paraId="17E28040" w14:textId="77777777" w:rsidTr="006802FE">
        <w:trPr>
          <w:trHeight w:val="240"/>
        </w:trPr>
        <w:tc>
          <w:tcPr>
            <w:tcW w:w="5098" w:type="dxa"/>
            <w:noWrap/>
            <w:hideMark/>
          </w:tcPr>
          <w:p w14:paraId="6BF8DF81"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Azure Cloud Services for SEPA´s Digital Licensing Environment</w:t>
            </w:r>
          </w:p>
        </w:tc>
        <w:tc>
          <w:tcPr>
            <w:tcW w:w="1418" w:type="dxa"/>
            <w:noWrap/>
            <w:hideMark/>
          </w:tcPr>
          <w:p w14:paraId="45A341A9"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11/02/2023</w:t>
            </w:r>
          </w:p>
        </w:tc>
        <w:tc>
          <w:tcPr>
            <w:tcW w:w="992" w:type="dxa"/>
            <w:noWrap/>
            <w:hideMark/>
          </w:tcPr>
          <w:p w14:paraId="231ADC85"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588A91E9"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14/10/2022</w:t>
            </w:r>
          </w:p>
        </w:tc>
        <w:tc>
          <w:tcPr>
            <w:tcW w:w="1418" w:type="dxa"/>
            <w:noWrap/>
            <w:hideMark/>
          </w:tcPr>
          <w:p w14:paraId="570C8F4E"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152,506.80</w:t>
            </w:r>
          </w:p>
        </w:tc>
      </w:tr>
      <w:tr w:rsidR="00C74952" w:rsidRPr="006802FE" w14:paraId="215997FA" w14:textId="77777777" w:rsidTr="006802FE">
        <w:trPr>
          <w:trHeight w:val="240"/>
        </w:trPr>
        <w:tc>
          <w:tcPr>
            <w:tcW w:w="5098" w:type="dxa"/>
            <w:noWrap/>
            <w:hideMark/>
          </w:tcPr>
          <w:p w14:paraId="675ED3B7"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Fixed Telephony Services (Landlines)</w:t>
            </w:r>
          </w:p>
        </w:tc>
        <w:tc>
          <w:tcPr>
            <w:tcW w:w="1418" w:type="dxa"/>
            <w:noWrap/>
            <w:hideMark/>
          </w:tcPr>
          <w:p w14:paraId="3BED03B9"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21/07/2021</w:t>
            </w:r>
          </w:p>
        </w:tc>
        <w:tc>
          <w:tcPr>
            <w:tcW w:w="992" w:type="dxa"/>
            <w:noWrap/>
            <w:hideMark/>
          </w:tcPr>
          <w:p w14:paraId="0EB4ADCC"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12</w:t>
            </w:r>
          </w:p>
        </w:tc>
        <w:tc>
          <w:tcPr>
            <w:tcW w:w="1559" w:type="dxa"/>
            <w:noWrap/>
            <w:hideMark/>
          </w:tcPr>
          <w:p w14:paraId="447C1991"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26/07/2020</w:t>
            </w:r>
          </w:p>
        </w:tc>
        <w:tc>
          <w:tcPr>
            <w:tcW w:w="1418" w:type="dxa"/>
            <w:noWrap/>
            <w:hideMark/>
          </w:tcPr>
          <w:p w14:paraId="67ED9AD4"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328,372.00</w:t>
            </w:r>
          </w:p>
        </w:tc>
      </w:tr>
      <w:tr w:rsidR="00C74952" w:rsidRPr="006802FE" w14:paraId="1404D633" w14:textId="77777777" w:rsidTr="006802FE">
        <w:trPr>
          <w:trHeight w:val="240"/>
        </w:trPr>
        <w:tc>
          <w:tcPr>
            <w:tcW w:w="5098" w:type="dxa"/>
            <w:noWrap/>
            <w:hideMark/>
          </w:tcPr>
          <w:p w14:paraId="052806F3"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Cloud and Hosting Service</w:t>
            </w:r>
          </w:p>
        </w:tc>
        <w:tc>
          <w:tcPr>
            <w:tcW w:w="1418" w:type="dxa"/>
            <w:noWrap/>
            <w:hideMark/>
          </w:tcPr>
          <w:p w14:paraId="6B9F436F"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31/12/2022</w:t>
            </w:r>
          </w:p>
        </w:tc>
        <w:tc>
          <w:tcPr>
            <w:tcW w:w="992" w:type="dxa"/>
            <w:noWrap/>
            <w:hideMark/>
          </w:tcPr>
          <w:p w14:paraId="57EAEB24"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6A4B9A9E"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02/09/2022</w:t>
            </w:r>
          </w:p>
        </w:tc>
        <w:tc>
          <w:tcPr>
            <w:tcW w:w="1418" w:type="dxa"/>
            <w:noWrap/>
            <w:hideMark/>
          </w:tcPr>
          <w:p w14:paraId="717797BB"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637,352.00</w:t>
            </w:r>
          </w:p>
        </w:tc>
      </w:tr>
      <w:tr w:rsidR="00C74952" w:rsidRPr="006802FE" w14:paraId="773F8AE8" w14:textId="77777777" w:rsidTr="006802FE">
        <w:trPr>
          <w:trHeight w:val="240"/>
        </w:trPr>
        <w:tc>
          <w:tcPr>
            <w:tcW w:w="5098" w:type="dxa"/>
            <w:noWrap/>
            <w:hideMark/>
          </w:tcPr>
          <w:p w14:paraId="189A2059"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Microsoft Enterprise Agreement</w:t>
            </w:r>
          </w:p>
        </w:tc>
        <w:tc>
          <w:tcPr>
            <w:tcW w:w="1418" w:type="dxa"/>
            <w:noWrap/>
            <w:hideMark/>
          </w:tcPr>
          <w:p w14:paraId="6BD7A430"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31/03/2022</w:t>
            </w:r>
          </w:p>
        </w:tc>
        <w:tc>
          <w:tcPr>
            <w:tcW w:w="992" w:type="dxa"/>
            <w:noWrap/>
            <w:hideMark/>
          </w:tcPr>
          <w:p w14:paraId="4AC2A592"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2856ADAE"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30/01/2022</w:t>
            </w:r>
          </w:p>
        </w:tc>
        <w:tc>
          <w:tcPr>
            <w:tcW w:w="1418" w:type="dxa"/>
            <w:noWrap/>
            <w:hideMark/>
          </w:tcPr>
          <w:p w14:paraId="2051A54F"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925,590.15</w:t>
            </w:r>
          </w:p>
        </w:tc>
      </w:tr>
      <w:tr w:rsidR="00C74952" w:rsidRPr="006802FE" w14:paraId="36814014" w14:textId="77777777" w:rsidTr="006802FE">
        <w:trPr>
          <w:trHeight w:val="240"/>
        </w:trPr>
        <w:tc>
          <w:tcPr>
            <w:tcW w:w="5098" w:type="dxa"/>
            <w:noWrap/>
            <w:hideMark/>
          </w:tcPr>
          <w:p w14:paraId="5BC0E3DC"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Outer Hebrides (Eilean Siar) Flood Forecasting Scheme</w:t>
            </w:r>
          </w:p>
        </w:tc>
        <w:tc>
          <w:tcPr>
            <w:tcW w:w="1418" w:type="dxa"/>
            <w:noWrap/>
            <w:hideMark/>
          </w:tcPr>
          <w:p w14:paraId="11F25940"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30/09/2020</w:t>
            </w:r>
          </w:p>
        </w:tc>
        <w:tc>
          <w:tcPr>
            <w:tcW w:w="992" w:type="dxa"/>
            <w:noWrap/>
            <w:hideMark/>
          </w:tcPr>
          <w:p w14:paraId="19569610"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29C7A4ED"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31/08/2020</w:t>
            </w:r>
          </w:p>
        </w:tc>
        <w:tc>
          <w:tcPr>
            <w:tcW w:w="1418" w:type="dxa"/>
            <w:noWrap/>
            <w:hideMark/>
          </w:tcPr>
          <w:p w14:paraId="6B0EEC04"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75,445.00</w:t>
            </w:r>
          </w:p>
        </w:tc>
      </w:tr>
      <w:tr w:rsidR="00C74952" w:rsidRPr="006802FE" w14:paraId="4562FC13" w14:textId="77777777" w:rsidTr="006802FE">
        <w:trPr>
          <w:trHeight w:val="240"/>
        </w:trPr>
        <w:tc>
          <w:tcPr>
            <w:tcW w:w="5098" w:type="dxa"/>
            <w:noWrap/>
            <w:hideMark/>
          </w:tcPr>
          <w:p w14:paraId="17840507"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North Cableway Upgrade 2019-20</w:t>
            </w:r>
          </w:p>
        </w:tc>
        <w:tc>
          <w:tcPr>
            <w:tcW w:w="1418" w:type="dxa"/>
            <w:noWrap/>
            <w:hideMark/>
          </w:tcPr>
          <w:p w14:paraId="3EC19524"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31/03/2020</w:t>
            </w:r>
          </w:p>
        </w:tc>
        <w:tc>
          <w:tcPr>
            <w:tcW w:w="992" w:type="dxa"/>
            <w:noWrap/>
            <w:hideMark/>
          </w:tcPr>
          <w:p w14:paraId="23835761"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00BBDACA"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31/03/2020</w:t>
            </w:r>
          </w:p>
        </w:tc>
        <w:tc>
          <w:tcPr>
            <w:tcW w:w="1418" w:type="dxa"/>
            <w:noWrap/>
            <w:hideMark/>
          </w:tcPr>
          <w:p w14:paraId="41C533DA"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38,078.04</w:t>
            </w:r>
          </w:p>
        </w:tc>
      </w:tr>
      <w:tr w:rsidR="00C74952" w:rsidRPr="006802FE" w14:paraId="1DE2EA42" w14:textId="77777777" w:rsidTr="006802FE">
        <w:trPr>
          <w:trHeight w:val="240"/>
        </w:trPr>
        <w:tc>
          <w:tcPr>
            <w:tcW w:w="5098" w:type="dxa"/>
            <w:noWrap/>
            <w:hideMark/>
          </w:tcPr>
          <w:p w14:paraId="016D4DF5"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Bathing Water Signage - Annual Repair and Maintenance</w:t>
            </w:r>
          </w:p>
        </w:tc>
        <w:tc>
          <w:tcPr>
            <w:tcW w:w="1418" w:type="dxa"/>
            <w:noWrap/>
            <w:hideMark/>
          </w:tcPr>
          <w:p w14:paraId="59545671"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30/04/2020</w:t>
            </w:r>
          </w:p>
        </w:tc>
        <w:tc>
          <w:tcPr>
            <w:tcW w:w="992" w:type="dxa"/>
            <w:noWrap/>
            <w:hideMark/>
          </w:tcPr>
          <w:p w14:paraId="13850DDD"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727189EF"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31/03/2020</w:t>
            </w:r>
          </w:p>
        </w:tc>
        <w:tc>
          <w:tcPr>
            <w:tcW w:w="1418" w:type="dxa"/>
            <w:noWrap/>
            <w:hideMark/>
          </w:tcPr>
          <w:p w14:paraId="08C58DF0"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15,000.00</w:t>
            </w:r>
          </w:p>
        </w:tc>
      </w:tr>
      <w:tr w:rsidR="00C74952" w:rsidRPr="006802FE" w14:paraId="7E6C514E" w14:textId="77777777" w:rsidTr="006802FE">
        <w:trPr>
          <w:trHeight w:val="240"/>
        </w:trPr>
        <w:tc>
          <w:tcPr>
            <w:tcW w:w="5098" w:type="dxa"/>
            <w:noWrap/>
            <w:hideMark/>
          </w:tcPr>
          <w:p w14:paraId="2541B70D"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Bathing Water VMS System</w:t>
            </w:r>
          </w:p>
        </w:tc>
        <w:tc>
          <w:tcPr>
            <w:tcW w:w="1418" w:type="dxa"/>
            <w:noWrap/>
            <w:hideMark/>
          </w:tcPr>
          <w:p w14:paraId="651835BA"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11/11/2022</w:t>
            </w:r>
          </w:p>
        </w:tc>
        <w:tc>
          <w:tcPr>
            <w:tcW w:w="992" w:type="dxa"/>
            <w:noWrap/>
            <w:hideMark/>
          </w:tcPr>
          <w:p w14:paraId="6CD20FC3"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24</w:t>
            </w:r>
          </w:p>
        </w:tc>
        <w:tc>
          <w:tcPr>
            <w:tcW w:w="1559" w:type="dxa"/>
            <w:noWrap/>
            <w:hideMark/>
          </w:tcPr>
          <w:p w14:paraId="51B39AF5"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15/05/2022</w:t>
            </w:r>
          </w:p>
        </w:tc>
        <w:tc>
          <w:tcPr>
            <w:tcW w:w="1418" w:type="dxa"/>
            <w:noWrap/>
            <w:hideMark/>
          </w:tcPr>
          <w:p w14:paraId="724C913A"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373,786.00</w:t>
            </w:r>
          </w:p>
        </w:tc>
      </w:tr>
      <w:tr w:rsidR="00C74952" w:rsidRPr="006802FE" w14:paraId="3DC69F8B" w14:textId="77777777" w:rsidTr="006802FE">
        <w:trPr>
          <w:trHeight w:val="240"/>
        </w:trPr>
        <w:tc>
          <w:tcPr>
            <w:tcW w:w="5098" w:type="dxa"/>
            <w:noWrap/>
            <w:hideMark/>
          </w:tcPr>
          <w:p w14:paraId="1C782BA1"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Cableway Gauging Winch Trial</w:t>
            </w:r>
          </w:p>
        </w:tc>
        <w:tc>
          <w:tcPr>
            <w:tcW w:w="1418" w:type="dxa"/>
            <w:noWrap/>
            <w:hideMark/>
          </w:tcPr>
          <w:p w14:paraId="492E7091"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31/12/2019</w:t>
            </w:r>
          </w:p>
        </w:tc>
        <w:tc>
          <w:tcPr>
            <w:tcW w:w="992" w:type="dxa"/>
            <w:noWrap/>
            <w:hideMark/>
          </w:tcPr>
          <w:p w14:paraId="15A1438B"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66A8EF4E"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31/12/2019</w:t>
            </w:r>
          </w:p>
        </w:tc>
        <w:tc>
          <w:tcPr>
            <w:tcW w:w="1418" w:type="dxa"/>
            <w:noWrap/>
            <w:hideMark/>
          </w:tcPr>
          <w:p w14:paraId="79F16BEF"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9,350.00</w:t>
            </w:r>
          </w:p>
        </w:tc>
      </w:tr>
      <w:tr w:rsidR="00C74952" w:rsidRPr="006802FE" w14:paraId="2D7409EE" w14:textId="77777777" w:rsidTr="006802FE">
        <w:trPr>
          <w:trHeight w:val="240"/>
        </w:trPr>
        <w:tc>
          <w:tcPr>
            <w:tcW w:w="5098" w:type="dxa"/>
            <w:noWrap/>
            <w:hideMark/>
          </w:tcPr>
          <w:p w14:paraId="07E36ABF"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Flying Fox Trial</w:t>
            </w:r>
          </w:p>
        </w:tc>
        <w:tc>
          <w:tcPr>
            <w:tcW w:w="1418" w:type="dxa"/>
            <w:noWrap/>
            <w:hideMark/>
          </w:tcPr>
          <w:p w14:paraId="3A82CD4C"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01/12/2020</w:t>
            </w:r>
          </w:p>
        </w:tc>
        <w:tc>
          <w:tcPr>
            <w:tcW w:w="992" w:type="dxa"/>
            <w:noWrap/>
            <w:hideMark/>
          </w:tcPr>
          <w:p w14:paraId="470AA105"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7DD0106F"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01/11/2020</w:t>
            </w:r>
          </w:p>
        </w:tc>
        <w:tc>
          <w:tcPr>
            <w:tcW w:w="1418" w:type="dxa"/>
            <w:noWrap/>
            <w:hideMark/>
          </w:tcPr>
          <w:p w14:paraId="32136770"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12,000.00</w:t>
            </w:r>
          </w:p>
        </w:tc>
      </w:tr>
      <w:tr w:rsidR="00C74952" w:rsidRPr="006802FE" w14:paraId="6E650303" w14:textId="77777777" w:rsidTr="006802FE">
        <w:trPr>
          <w:trHeight w:val="240"/>
        </w:trPr>
        <w:tc>
          <w:tcPr>
            <w:tcW w:w="5098" w:type="dxa"/>
            <w:noWrap/>
            <w:hideMark/>
          </w:tcPr>
          <w:p w14:paraId="57ADCBEC"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Load Limiters</w:t>
            </w:r>
          </w:p>
        </w:tc>
        <w:tc>
          <w:tcPr>
            <w:tcW w:w="1418" w:type="dxa"/>
            <w:noWrap/>
            <w:hideMark/>
          </w:tcPr>
          <w:p w14:paraId="4174FC1E"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31/03/2020</w:t>
            </w:r>
          </w:p>
        </w:tc>
        <w:tc>
          <w:tcPr>
            <w:tcW w:w="992" w:type="dxa"/>
            <w:noWrap/>
            <w:hideMark/>
          </w:tcPr>
          <w:p w14:paraId="3FF8ED81"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4BBC4933"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01/03/2020</w:t>
            </w:r>
          </w:p>
        </w:tc>
        <w:tc>
          <w:tcPr>
            <w:tcW w:w="1418" w:type="dxa"/>
            <w:noWrap/>
            <w:hideMark/>
          </w:tcPr>
          <w:p w14:paraId="1151137B"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12,300.00</w:t>
            </w:r>
          </w:p>
        </w:tc>
      </w:tr>
      <w:tr w:rsidR="00C74952" w:rsidRPr="006802FE" w14:paraId="6956845D" w14:textId="77777777" w:rsidTr="006802FE">
        <w:trPr>
          <w:trHeight w:val="240"/>
        </w:trPr>
        <w:tc>
          <w:tcPr>
            <w:tcW w:w="5098" w:type="dxa"/>
            <w:noWrap/>
            <w:hideMark/>
          </w:tcPr>
          <w:p w14:paraId="3431862C"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Ormiston Mill Winch Station</w:t>
            </w:r>
          </w:p>
        </w:tc>
        <w:tc>
          <w:tcPr>
            <w:tcW w:w="1418" w:type="dxa"/>
            <w:noWrap/>
            <w:hideMark/>
          </w:tcPr>
          <w:p w14:paraId="6AF51807"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31/03/2020</w:t>
            </w:r>
          </w:p>
        </w:tc>
        <w:tc>
          <w:tcPr>
            <w:tcW w:w="992" w:type="dxa"/>
            <w:noWrap/>
            <w:hideMark/>
          </w:tcPr>
          <w:p w14:paraId="57A7C0C6"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599B4C10"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01/03/2020</w:t>
            </w:r>
          </w:p>
        </w:tc>
        <w:tc>
          <w:tcPr>
            <w:tcW w:w="1418" w:type="dxa"/>
            <w:noWrap/>
            <w:hideMark/>
          </w:tcPr>
          <w:p w14:paraId="35C1DD60"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19,696.26</w:t>
            </w:r>
          </w:p>
        </w:tc>
      </w:tr>
      <w:tr w:rsidR="00C74952" w:rsidRPr="006802FE" w14:paraId="6841807C" w14:textId="77777777" w:rsidTr="006802FE">
        <w:trPr>
          <w:trHeight w:val="240"/>
        </w:trPr>
        <w:tc>
          <w:tcPr>
            <w:tcW w:w="5098" w:type="dxa"/>
            <w:noWrap/>
            <w:hideMark/>
          </w:tcPr>
          <w:p w14:paraId="3720D17B"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Cableway Remote Travellers</w:t>
            </w:r>
          </w:p>
        </w:tc>
        <w:tc>
          <w:tcPr>
            <w:tcW w:w="1418" w:type="dxa"/>
            <w:noWrap/>
            <w:hideMark/>
          </w:tcPr>
          <w:p w14:paraId="01113288"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31/01/2020</w:t>
            </w:r>
          </w:p>
        </w:tc>
        <w:tc>
          <w:tcPr>
            <w:tcW w:w="992" w:type="dxa"/>
            <w:noWrap/>
            <w:hideMark/>
          </w:tcPr>
          <w:p w14:paraId="0BCC2C87"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32D4F576"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01/01/2020</w:t>
            </w:r>
          </w:p>
        </w:tc>
        <w:tc>
          <w:tcPr>
            <w:tcW w:w="1418" w:type="dxa"/>
            <w:noWrap/>
            <w:hideMark/>
          </w:tcPr>
          <w:p w14:paraId="2ED97A9C"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21,000.00</w:t>
            </w:r>
          </w:p>
        </w:tc>
      </w:tr>
      <w:tr w:rsidR="00C74952" w:rsidRPr="006802FE" w14:paraId="52A04C90" w14:textId="77777777" w:rsidTr="006802FE">
        <w:trPr>
          <w:trHeight w:val="240"/>
        </w:trPr>
        <w:tc>
          <w:tcPr>
            <w:tcW w:w="5098" w:type="dxa"/>
            <w:noWrap/>
            <w:hideMark/>
          </w:tcPr>
          <w:p w14:paraId="33EAF405"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Shewlton Hut Replacement</w:t>
            </w:r>
          </w:p>
        </w:tc>
        <w:tc>
          <w:tcPr>
            <w:tcW w:w="1418" w:type="dxa"/>
            <w:noWrap/>
            <w:hideMark/>
          </w:tcPr>
          <w:p w14:paraId="57A0333D"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31/03/2020</w:t>
            </w:r>
          </w:p>
        </w:tc>
        <w:tc>
          <w:tcPr>
            <w:tcW w:w="992" w:type="dxa"/>
            <w:noWrap/>
            <w:hideMark/>
          </w:tcPr>
          <w:p w14:paraId="37DA99AE"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58467EFA"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01/03/2020</w:t>
            </w:r>
          </w:p>
        </w:tc>
        <w:tc>
          <w:tcPr>
            <w:tcW w:w="1418" w:type="dxa"/>
            <w:noWrap/>
            <w:hideMark/>
          </w:tcPr>
          <w:p w14:paraId="238223B3"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39,922.85</w:t>
            </w:r>
          </w:p>
        </w:tc>
      </w:tr>
      <w:tr w:rsidR="00C74952" w:rsidRPr="006802FE" w14:paraId="547C64F9" w14:textId="77777777" w:rsidTr="006802FE">
        <w:trPr>
          <w:trHeight w:val="240"/>
        </w:trPr>
        <w:tc>
          <w:tcPr>
            <w:tcW w:w="5098" w:type="dxa"/>
            <w:noWrap/>
            <w:hideMark/>
          </w:tcPr>
          <w:p w14:paraId="6AA6158A"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Manual Winch Replacement</w:t>
            </w:r>
          </w:p>
        </w:tc>
        <w:tc>
          <w:tcPr>
            <w:tcW w:w="1418" w:type="dxa"/>
            <w:noWrap/>
            <w:hideMark/>
          </w:tcPr>
          <w:p w14:paraId="00953830"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31/03/2020</w:t>
            </w:r>
          </w:p>
        </w:tc>
        <w:tc>
          <w:tcPr>
            <w:tcW w:w="992" w:type="dxa"/>
            <w:noWrap/>
            <w:hideMark/>
          </w:tcPr>
          <w:p w14:paraId="77992FDF"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4ACE852F"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01/03/2020</w:t>
            </w:r>
          </w:p>
        </w:tc>
        <w:tc>
          <w:tcPr>
            <w:tcW w:w="1418" w:type="dxa"/>
            <w:noWrap/>
            <w:hideMark/>
          </w:tcPr>
          <w:p w14:paraId="6FD83529"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40,000.00</w:t>
            </w:r>
          </w:p>
        </w:tc>
      </w:tr>
      <w:tr w:rsidR="00C74952" w:rsidRPr="006802FE" w14:paraId="3FB30E72" w14:textId="77777777" w:rsidTr="006802FE">
        <w:trPr>
          <w:trHeight w:val="240"/>
        </w:trPr>
        <w:tc>
          <w:tcPr>
            <w:tcW w:w="5098" w:type="dxa"/>
            <w:noWrap/>
            <w:hideMark/>
          </w:tcPr>
          <w:p w14:paraId="433A80B2"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Cableway Remote Travellers</w:t>
            </w:r>
          </w:p>
        </w:tc>
        <w:tc>
          <w:tcPr>
            <w:tcW w:w="1418" w:type="dxa"/>
            <w:noWrap/>
            <w:hideMark/>
          </w:tcPr>
          <w:p w14:paraId="3667F725"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31/03/2020</w:t>
            </w:r>
          </w:p>
        </w:tc>
        <w:tc>
          <w:tcPr>
            <w:tcW w:w="992" w:type="dxa"/>
            <w:noWrap/>
            <w:hideMark/>
          </w:tcPr>
          <w:p w14:paraId="4D810F0C"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6B2B1992"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01/03/2020</w:t>
            </w:r>
          </w:p>
        </w:tc>
        <w:tc>
          <w:tcPr>
            <w:tcW w:w="1418" w:type="dxa"/>
            <w:noWrap/>
            <w:hideMark/>
          </w:tcPr>
          <w:p w14:paraId="6F80EA8D"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71,998.83</w:t>
            </w:r>
          </w:p>
        </w:tc>
      </w:tr>
      <w:tr w:rsidR="00C74952" w:rsidRPr="006802FE" w14:paraId="5E6F258C" w14:textId="77777777" w:rsidTr="006802FE">
        <w:trPr>
          <w:trHeight w:val="240"/>
        </w:trPr>
        <w:tc>
          <w:tcPr>
            <w:tcW w:w="5098" w:type="dxa"/>
            <w:noWrap/>
            <w:hideMark/>
          </w:tcPr>
          <w:p w14:paraId="533E028E"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Boat of Garten Rebuild</w:t>
            </w:r>
          </w:p>
        </w:tc>
        <w:tc>
          <w:tcPr>
            <w:tcW w:w="1418" w:type="dxa"/>
            <w:noWrap/>
            <w:hideMark/>
          </w:tcPr>
          <w:p w14:paraId="0CF4E4F2"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31/12/2019</w:t>
            </w:r>
          </w:p>
        </w:tc>
        <w:tc>
          <w:tcPr>
            <w:tcW w:w="992" w:type="dxa"/>
            <w:noWrap/>
            <w:hideMark/>
          </w:tcPr>
          <w:p w14:paraId="29FFC5D9"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5455D692"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01/12/2019</w:t>
            </w:r>
          </w:p>
        </w:tc>
        <w:tc>
          <w:tcPr>
            <w:tcW w:w="1418" w:type="dxa"/>
            <w:noWrap/>
            <w:hideMark/>
          </w:tcPr>
          <w:p w14:paraId="7C15767A"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105,999.11</w:t>
            </w:r>
          </w:p>
        </w:tc>
      </w:tr>
      <w:tr w:rsidR="00C74952" w:rsidRPr="006802FE" w14:paraId="50576F23" w14:textId="77777777" w:rsidTr="006802FE">
        <w:trPr>
          <w:trHeight w:val="240"/>
        </w:trPr>
        <w:tc>
          <w:tcPr>
            <w:tcW w:w="5098" w:type="dxa"/>
            <w:noWrap/>
            <w:hideMark/>
          </w:tcPr>
          <w:p w14:paraId="6900562E"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PSTA Accessibility Testing &amp; Training</w:t>
            </w:r>
          </w:p>
        </w:tc>
        <w:tc>
          <w:tcPr>
            <w:tcW w:w="1418" w:type="dxa"/>
            <w:noWrap/>
            <w:hideMark/>
          </w:tcPr>
          <w:p w14:paraId="4CF7193F"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08/09/2019</w:t>
            </w:r>
          </w:p>
        </w:tc>
        <w:tc>
          <w:tcPr>
            <w:tcW w:w="992" w:type="dxa"/>
            <w:noWrap/>
            <w:hideMark/>
          </w:tcPr>
          <w:p w14:paraId="3E906D5D"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45C05CB4"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12/03/2019</w:t>
            </w:r>
          </w:p>
        </w:tc>
        <w:tc>
          <w:tcPr>
            <w:tcW w:w="1418" w:type="dxa"/>
            <w:noWrap/>
            <w:hideMark/>
          </w:tcPr>
          <w:p w14:paraId="7FB15003"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8,200.00</w:t>
            </w:r>
          </w:p>
        </w:tc>
      </w:tr>
      <w:tr w:rsidR="00C74952" w:rsidRPr="006802FE" w14:paraId="550166D5" w14:textId="77777777" w:rsidTr="006802FE">
        <w:trPr>
          <w:trHeight w:val="240"/>
        </w:trPr>
        <w:tc>
          <w:tcPr>
            <w:tcW w:w="5098" w:type="dxa"/>
            <w:noWrap/>
            <w:hideMark/>
          </w:tcPr>
          <w:p w14:paraId="454F68DB"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Customer Platform Project Pilot</w:t>
            </w:r>
          </w:p>
        </w:tc>
        <w:tc>
          <w:tcPr>
            <w:tcW w:w="1418" w:type="dxa"/>
            <w:noWrap/>
            <w:hideMark/>
          </w:tcPr>
          <w:p w14:paraId="12767CEB"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15/11/2019</w:t>
            </w:r>
          </w:p>
        </w:tc>
        <w:tc>
          <w:tcPr>
            <w:tcW w:w="992" w:type="dxa"/>
            <w:noWrap/>
            <w:hideMark/>
          </w:tcPr>
          <w:p w14:paraId="66A2F14D"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140FFE14"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16/09/2019</w:t>
            </w:r>
          </w:p>
        </w:tc>
        <w:tc>
          <w:tcPr>
            <w:tcW w:w="1418" w:type="dxa"/>
            <w:noWrap/>
            <w:hideMark/>
          </w:tcPr>
          <w:p w14:paraId="4492F658"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99,675.00</w:t>
            </w:r>
          </w:p>
        </w:tc>
      </w:tr>
      <w:tr w:rsidR="00C74952" w:rsidRPr="006802FE" w14:paraId="433E11C0" w14:textId="77777777" w:rsidTr="006802FE">
        <w:trPr>
          <w:trHeight w:val="240"/>
        </w:trPr>
        <w:tc>
          <w:tcPr>
            <w:tcW w:w="5098" w:type="dxa"/>
            <w:noWrap/>
            <w:hideMark/>
          </w:tcPr>
          <w:p w14:paraId="31D2E38E"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Remote Noise Monitoring Kit</w:t>
            </w:r>
          </w:p>
        </w:tc>
        <w:tc>
          <w:tcPr>
            <w:tcW w:w="1418" w:type="dxa"/>
            <w:noWrap/>
            <w:hideMark/>
          </w:tcPr>
          <w:p w14:paraId="027080D4"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31/03/2020</w:t>
            </w:r>
          </w:p>
        </w:tc>
        <w:tc>
          <w:tcPr>
            <w:tcW w:w="992" w:type="dxa"/>
            <w:noWrap/>
            <w:hideMark/>
          </w:tcPr>
          <w:p w14:paraId="310AE802"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0A7367E7"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31/03/2020</w:t>
            </w:r>
          </w:p>
        </w:tc>
        <w:tc>
          <w:tcPr>
            <w:tcW w:w="1418" w:type="dxa"/>
            <w:noWrap/>
            <w:hideMark/>
          </w:tcPr>
          <w:p w14:paraId="0865C4DD"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18,305.00</w:t>
            </w:r>
          </w:p>
        </w:tc>
      </w:tr>
      <w:tr w:rsidR="00C74952" w:rsidRPr="006802FE" w14:paraId="70D72100" w14:textId="77777777" w:rsidTr="006802FE">
        <w:trPr>
          <w:trHeight w:val="240"/>
        </w:trPr>
        <w:tc>
          <w:tcPr>
            <w:tcW w:w="5098" w:type="dxa"/>
            <w:noWrap/>
            <w:hideMark/>
          </w:tcPr>
          <w:p w14:paraId="3F3BC6D2"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Replacement Trailer for the SV Kelpie</w:t>
            </w:r>
          </w:p>
        </w:tc>
        <w:tc>
          <w:tcPr>
            <w:tcW w:w="1418" w:type="dxa"/>
            <w:noWrap/>
            <w:hideMark/>
          </w:tcPr>
          <w:p w14:paraId="7347387C"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31/01/2020</w:t>
            </w:r>
          </w:p>
        </w:tc>
        <w:tc>
          <w:tcPr>
            <w:tcW w:w="992" w:type="dxa"/>
            <w:noWrap/>
            <w:hideMark/>
          </w:tcPr>
          <w:p w14:paraId="0E4ED0DB"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00AF12F1"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01/01/2020</w:t>
            </w:r>
          </w:p>
        </w:tc>
        <w:tc>
          <w:tcPr>
            <w:tcW w:w="1418" w:type="dxa"/>
            <w:noWrap/>
            <w:hideMark/>
          </w:tcPr>
          <w:p w14:paraId="57764F90"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8,266.00</w:t>
            </w:r>
          </w:p>
        </w:tc>
      </w:tr>
      <w:tr w:rsidR="00C74952" w:rsidRPr="006802FE" w14:paraId="1E9D48CD" w14:textId="77777777" w:rsidTr="006802FE">
        <w:trPr>
          <w:trHeight w:val="240"/>
        </w:trPr>
        <w:tc>
          <w:tcPr>
            <w:tcW w:w="5098" w:type="dxa"/>
            <w:noWrap/>
            <w:hideMark/>
          </w:tcPr>
          <w:p w14:paraId="0819F291"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SODA Box Replacement</w:t>
            </w:r>
          </w:p>
        </w:tc>
        <w:tc>
          <w:tcPr>
            <w:tcW w:w="1418" w:type="dxa"/>
            <w:noWrap/>
            <w:hideMark/>
          </w:tcPr>
          <w:p w14:paraId="667B5800"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31/01/2020</w:t>
            </w:r>
          </w:p>
        </w:tc>
        <w:tc>
          <w:tcPr>
            <w:tcW w:w="992" w:type="dxa"/>
            <w:noWrap/>
            <w:hideMark/>
          </w:tcPr>
          <w:p w14:paraId="24EBE21A"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084DBAB8"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01/01/2020</w:t>
            </w:r>
          </w:p>
        </w:tc>
        <w:tc>
          <w:tcPr>
            <w:tcW w:w="1418" w:type="dxa"/>
            <w:noWrap/>
            <w:hideMark/>
          </w:tcPr>
          <w:p w14:paraId="2900CBF5"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9,845.00</w:t>
            </w:r>
          </w:p>
        </w:tc>
      </w:tr>
      <w:tr w:rsidR="00C74952" w:rsidRPr="006802FE" w14:paraId="63A8C5D2" w14:textId="77777777" w:rsidTr="006802FE">
        <w:trPr>
          <w:trHeight w:val="240"/>
        </w:trPr>
        <w:tc>
          <w:tcPr>
            <w:tcW w:w="5098" w:type="dxa"/>
            <w:noWrap/>
            <w:hideMark/>
          </w:tcPr>
          <w:p w14:paraId="12FEAF4D"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Logger and Shaft Encoder Replacement Project</w:t>
            </w:r>
          </w:p>
        </w:tc>
        <w:tc>
          <w:tcPr>
            <w:tcW w:w="1418" w:type="dxa"/>
            <w:noWrap/>
            <w:hideMark/>
          </w:tcPr>
          <w:p w14:paraId="4F97D3BF"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17/02/2023</w:t>
            </w:r>
          </w:p>
        </w:tc>
        <w:tc>
          <w:tcPr>
            <w:tcW w:w="992" w:type="dxa"/>
            <w:noWrap/>
            <w:hideMark/>
          </w:tcPr>
          <w:p w14:paraId="0EA317C3"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12</w:t>
            </w:r>
          </w:p>
        </w:tc>
        <w:tc>
          <w:tcPr>
            <w:tcW w:w="1559" w:type="dxa"/>
            <w:noWrap/>
            <w:hideMark/>
          </w:tcPr>
          <w:p w14:paraId="21D3515C"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19/12/2022</w:t>
            </w:r>
          </w:p>
        </w:tc>
        <w:tc>
          <w:tcPr>
            <w:tcW w:w="1418" w:type="dxa"/>
            <w:noWrap/>
            <w:hideMark/>
          </w:tcPr>
          <w:p w14:paraId="42E4EEC5"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110,654.00</w:t>
            </w:r>
          </w:p>
        </w:tc>
      </w:tr>
      <w:tr w:rsidR="00C74952" w:rsidRPr="006802FE" w14:paraId="52E03F46" w14:textId="77777777" w:rsidTr="006802FE">
        <w:trPr>
          <w:trHeight w:val="240"/>
        </w:trPr>
        <w:tc>
          <w:tcPr>
            <w:tcW w:w="5098" w:type="dxa"/>
            <w:noWrap/>
            <w:hideMark/>
          </w:tcPr>
          <w:p w14:paraId="5CB9E35A"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lastRenderedPageBreak/>
              <w:t>Logger and Shaft Encoder Replacement Project</w:t>
            </w:r>
          </w:p>
        </w:tc>
        <w:tc>
          <w:tcPr>
            <w:tcW w:w="1418" w:type="dxa"/>
            <w:noWrap/>
            <w:hideMark/>
          </w:tcPr>
          <w:p w14:paraId="6253DA45"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17/02/2023</w:t>
            </w:r>
          </w:p>
        </w:tc>
        <w:tc>
          <w:tcPr>
            <w:tcW w:w="992" w:type="dxa"/>
            <w:noWrap/>
            <w:hideMark/>
          </w:tcPr>
          <w:p w14:paraId="45E97C75"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12</w:t>
            </w:r>
          </w:p>
        </w:tc>
        <w:tc>
          <w:tcPr>
            <w:tcW w:w="1559" w:type="dxa"/>
            <w:noWrap/>
            <w:hideMark/>
          </w:tcPr>
          <w:p w14:paraId="295863DB"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19/12/2022</w:t>
            </w:r>
          </w:p>
        </w:tc>
        <w:tc>
          <w:tcPr>
            <w:tcW w:w="1418" w:type="dxa"/>
            <w:noWrap/>
            <w:hideMark/>
          </w:tcPr>
          <w:p w14:paraId="3EFB89BF"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157,320.00</w:t>
            </w:r>
          </w:p>
        </w:tc>
      </w:tr>
      <w:tr w:rsidR="00C74952" w:rsidRPr="006802FE" w14:paraId="40D90E46" w14:textId="77777777" w:rsidTr="006802FE">
        <w:trPr>
          <w:trHeight w:val="240"/>
        </w:trPr>
        <w:tc>
          <w:tcPr>
            <w:tcW w:w="5098" w:type="dxa"/>
            <w:noWrap/>
            <w:hideMark/>
          </w:tcPr>
          <w:p w14:paraId="7FE846EE"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Logger and Shaft Encoder Replacement Project</w:t>
            </w:r>
          </w:p>
        </w:tc>
        <w:tc>
          <w:tcPr>
            <w:tcW w:w="1418" w:type="dxa"/>
            <w:noWrap/>
            <w:hideMark/>
          </w:tcPr>
          <w:p w14:paraId="0CF604E3"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17/02/2023</w:t>
            </w:r>
          </w:p>
        </w:tc>
        <w:tc>
          <w:tcPr>
            <w:tcW w:w="992" w:type="dxa"/>
            <w:noWrap/>
            <w:hideMark/>
          </w:tcPr>
          <w:p w14:paraId="552625A5"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12</w:t>
            </w:r>
          </w:p>
        </w:tc>
        <w:tc>
          <w:tcPr>
            <w:tcW w:w="1559" w:type="dxa"/>
            <w:noWrap/>
            <w:hideMark/>
          </w:tcPr>
          <w:p w14:paraId="337F1916"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19/12/2022</w:t>
            </w:r>
          </w:p>
        </w:tc>
        <w:tc>
          <w:tcPr>
            <w:tcW w:w="1418" w:type="dxa"/>
            <w:noWrap/>
            <w:hideMark/>
          </w:tcPr>
          <w:p w14:paraId="2DF23B48"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343,356.00</w:t>
            </w:r>
          </w:p>
        </w:tc>
      </w:tr>
      <w:tr w:rsidR="00C74952" w:rsidRPr="006802FE" w14:paraId="28D4C96B" w14:textId="77777777" w:rsidTr="006802FE">
        <w:trPr>
          <w:trHeight w:val="240"/>
        </w:trPr>
        <w:tc>
          <w:tcPr>
            <w:tcW w:w="5098" w:type="dxa"/>
            <w:noWrap/>
            <w:hideMark/>
          </w:tcPr>
          <w:p w14:paraId="62057A74"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Pressure Sensors</w:t>
            </w:r>
          </w:p>
        </w:tc>
        <w:tc>
          <w:tcPr>
            <w:tcW w:w="1418" w:type="dxa"/>
            <w:noWrap/>
            <w:hideMark/>
          </w:tcPr>
          <w:p w14:paraId="0737AAFB"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23/11/2022</w:t>
            </w:r>
          </w:p>
        </w:tc>
        <w:tc>
          <w:tcPr>
            <w:tcW w:w="992" w:type="dxa"/>
            <w:noWrap/>
            <w:hideMark/>
          </w:tcPr>
          <w:p w14:paraId="7DA715CE"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24</w:t>
            </w:r>
          </w:p>
        </w:tc>
        <w:tc>
          <w:tcPr>
            <w:tcW w:w="1559" w:type="dxa"/>
            <w:noWrap/>
            <w:hideMark/>
          </w:tcPr>
          <w:p w14:paraId="0DFC69A3"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24/09/2022</w:t>
            </w:r>
          </w:p>
        </w:tc>
        <w:tc>
          <w:tcPr>
            <w:tcW w:w="1418" w:type="dxa"/>
            <w:noWrap/>
            <w:hideMark/>
          </w:tcPr>
          <w:p w14:paraId="276D57FA"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100,000.00</w:t>
            </w:r>
          </w:p>
        </w:tc>
      </w:tr>
      <w:tr w:rsidR="00C74952" w:rsidRPr="006802FE" w14:paraId="0AD9553E" w14:textId="77777777" w:rsidTr="006802FE">
        <w:trPr>
          <w:trHeight w:val="240"/>
        </w:trPr>
        <w:tc>
          <w:tcPr>
            <w:tcW w:w="5098" w:type="dxa"/>
            <w:noWrap/>
            <w:hideMark/>
          </w:tcPr>
          <w:p w14:paraId="063FDF2C"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Real Time Observation Pilot</w:t>
            </w:r>
          </w:p>
        </w:tc>
        <w:tc>
          <w:tcPr>
            <w:tcW w:w="1418" w:type="dxa"/>
            <w:noWrap/>
            <w:hideMark/>
          </w:tcPr>
          <w:p w14:paraId="5B615188"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09/04/2029</w:t>
            </w:r>
          </w:p>
        </w:tc>
        <w:tc>
          <w:tcPr>
            <w:tcW w:w="992" w:type="dxa"/>
            <w:noWrap/>
            <w:hideMark/>
          </w:tcPr>
          <w:p w14:paraId="3F81B13D"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6D793B09"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08/02/2029</w:t>
            </w:r>
          </w:p>
        </w:tc>
        <w:tc>
          <w:tcPr>
            <w:tcW w:w="1418" w:type="dxa"/>
            <w:noWrap/>
            <w:hideMark/>
          </w:tcPr>
          <w:p w14:paraId="5EDACC37"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17,800.00</w:t>
            </w:r>
          </w:p>
        </w:tc>
      </w:tr>
      <w:tr w:rsidR="00C74952" w:rsidRPr="006802FE" w14:paraId="67647CA4" w14:textId="77777777" w:rsidTr="006802FE">
        <w:trPr>
          <w:trHeight w:val="240"/>
        </w:trPr>
        <w:tc>
          <w:tcPr>
            <w:tcW w:w="5098" w:type="dxa"/>
            <w:noWrap/>
            <w:hideMark/>
          </w:tcPr>
          <w:p w14:paraId="4EA7D748"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ChemData Subsciption</w:t>
            </w:r>
          </w:p>
        </w:tc>
        <w:tc>
          <w:tcPr>
            <w:tcW w:w="1418" w:type="dxa"/>
            <w:noWrap/>
            <w:hideMark/>
          </w:tcPr>
          <w:p w14:paraId="17FAC1FF"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31/03/2020</w:t>
            </w:r>
          </w:p>
        </w:tc>
        <w:tc>
          <w:tcPr>
            <w:tcW w:w="992" w:type="dxa"/>
            <w:noWrap/>
            <w:hideMark/>
          </w:tcPr>
          <w:p w14:paraId="09F10924"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7EF851B6"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01/03/2020</w:t>
            </w:r>
          </w:p>
        </w:tc>
        <w:tc>
          <w:tcPr>
            <w:tcW w:w="1418" w:type="dxa"/>
            <w:noWrap/>
            <w:hideMark/>
          </w:tcPr>
          <w:p w14:paraId="1763B6B2"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6,410.00</w:t>
            </w:r>
          </w:p>
        </w:tc>
      </w:tr>
      <w:tr w:rsidR="00C74952" w:rsidRPr="006802FE" w14:paraId="063596AD" w14:textId="77777777" w:rsidTr="006802FE">
        <w:trPr>
          <w:trHeight w:val="240"/>
        </w:trPr>
        <w:tc>
          <w:tcPr>
            <w:tcW w:w="5098" w:type="dxa"/>
            <w:noWrap/>
            <w:hideMark/>
          </w:tcPr>
          <w:p w14:paraId="150E7F57"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Resource Scheduler Maintenance &amp; Support</w:t>
            </w:r>
          </w:p>
        </w:tc>
        <w:tc>
          <w:tcPr>
            <w:tcW w:w="1418" w:type="dxa"/>
            <w:noWrap/>
            <w:hideMark/>
          </w:tcPr>
          <w:p w14:paraId="6837E553"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31/03/2021</w:t>
            </w:r>
          </w:p>
        </w:tc>
        <w:tc>
          <w:tcPr>
            <w:tcW w:w="992" w:type="dxa"/>
            <w:noWrap/>
            <w:hideMark/>
          </w:tcPr>
          <w:p w14:paraId="43658E40"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2A0EF2B6"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30/01/2021</w:t>
            </w:r>
          </w:p>
        </w:tc>
        <w:tc>
          <w:tcPr>
            <w:tcW w:w="1418" w:type="dxa"/>
            <w:noWrap/>
            <w:hideMark/>
          </w:tcPr>
          <w:p w14:paraId="1A81F235"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10,238.88</w:t>
            </w:r>
          </w:p>
        </w:tc>
      </w:tr>
      <w:tr w:rsidR="00C74952" w:rsidRPr="006802FE" w14:paraId="6CC478E1" w14:textId="77777777" w:rsidTr="006802FE">
        <w:trPr>
          <w:trHeight w:val="240"/>
        </w:trPr>
        <w:tc>
          <w:tcPr>
            <w:tcW w:w="5098" w:type="dxa"/>
            <w:noWrap/>
            <w:hideMark/>
          </w:tcPr>
          <w:p w14:paraId="50E21FE5"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BOD analysers, maintenance contract</w:t>
            </w:r>
          </w:p>
        </w:tc>
        <w:tc>
          <w:tcPr>
            <w:tcW w:w="1418" w:type="dxa"/>
            <w:noWrap/>
            <w:hideMark/>
          </w:tcPr>
          <w:p w14:paraId="0DEE851D"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03/02/2021</w:t>
            </w:r>
          </w:p>
        </w:tc>
        <w:tc>
          <w:tcPr>
            <w:tcW w:w="992" w:type="dxa"/>
            <w:noWrap/>
            <w:hideMark/>
          </w:tcPr>
          <w:p w14:paraId="127552C0"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39F43F7B"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04/01/2021</w:t>
            </w:r>
          </w:p>
        </w:tc>
        <w:tc>
          <w:tcPr>
            <w:tcW w:w="1418" w:type="dxa"/>
            <w:noWrap/>
            <w:hideMark/>
          </w:tcPr>
          <w:p w14:paraId="6A342035"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6,792.00</w:t>
            </w:r>
          </w:p>
        </w:tc>
      </w:tr>
      <w:tr w:rsidR="00C74952" w:rsidRPr="006802FE" w14:paraId="29A8C8C0" w14:textId="77777777" w:rsidTr="006802FE">
        <w:trPr>
          <w:trHeight w:val="240"/>
        </w:trPr>
        <w:tc>
          <w:tcPr>
            <w:tcW w:w="5098" w:type="dxa"/>
            <w:noWrap/>
            <w:hideMark/>
          </w:tcPr>
          <w:p w14:paraId="485E3198"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Nutrient Analyser Maintenance</w:t>
            </w:r>
          </w:p>
        </w:tc>
        <w:tc>
          <w:tcPr>
            <w:tcW w:w="1418" w:type="dxa"/>
            <w:noWrap/>
            <w:hideMark/>
          </w:tcPr>
          <w:p w14:paraId="60A176BF"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01/05/2020</w:t>
            </w:r>
          </w:p>
        </w:tc>
        <w:tc>
          <w:tcPr>
            <w:tcW w:w="992" w:type="dxa"/>
            <w:noWrap/>
            <w:hideMark/>
          </w:tcPr>
          <w:p w14:paraId="2D55781F"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42EE04F8"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02/03/2020</w:t>
            </w:r>
          </w:p>
        </w:tc>
        <w:tc>
          <w:tcPr>
            <w:tcW w:w="1418" w:type="dxa"/>
            <w:noWrap/>
            <w:hideMark/>
          </w:tcPr>
          <w:p w14:paraId="4041716A"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17,839.00</w:t>
            </w:r>
          </w:p>
        </w:tc>
      </w:tr>
      <w:tr w:rsidR="00C74952" w:rsidRPr="006802FE" w14:paraId="0F7E00B4" w14:textId="77777777" w:rsidTr="006802FE">
        <w:trPr>
          <w:trHeight w:val="240"/>
        </w:trPr>
        <w:tc>
          <w:tcPr>
            <w:tcW w:w="5098" w:type="dxa"/>
            <w:noWrap/>
            <w:hideMark/>
          </w:tcPr>
          <w:p w14:paraId="4B2A2E0A"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InfoWorks ICM Annual Maintenance</w:t>
            </w:r>
          </w:p>
        </w:tc>
        <w:tc>
          <w:tcPr>
            <w:tcW w:w="1418" w:type="dxa"/>
            <w:noWrap/>
            <w:hideMark/>
          </w:tcPr>
          <w:p w14:paraId="2C3509A1"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14/03/2021</w:t>
            </w:r>
          </w:p>
        </w:tc>
        <w:tc>
          <w:tcPr>
            <w:tcW w:w="992" w:type="dxa"/>
            <w:noWrap/>
            <w:hideMark/>
          </w:tcPr>
          <w:p w14:paraId="09BF30B8"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06BCC469"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13/01/2021</w:t>
            </w:r>
          </w:p>
        </w:tc>
        <w:tc>
          <w:tcPr>
            <w:tcW w:w="1418" w:type="dxa"/>
            <w:noWrap/>
            <w:hideMark/>
          </w:tcPr>
          <w:p w14:paraId="12C7A127"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7,630.48</w:t>
            </w:r>
          </w:p>
        </w:tc>
      </w:tr>
      <w:tr w:rsidR="00C74952" w:rsidRPr="006802FE" w14:paraId="1C95B031" w14:textId="77777777" w:rsidTr="006802FE">
        <w:trPr>
          <w:trHeight w:val="240"/>
        </w:trPr>
        <w:tc>
          <w:tcPr>
            <w:tcW w:w="5098" w:type="dxa"/>
            <w:noWrap/>
            <w:hideMark/>
          </w:tcPr>
          <w:p w14:paraId="6FEDC152"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ISIS/Flood Modeller Pro Software</w:t>
            </w:r>
          </w:p>
        </w:tc>
        <w:tc>
          <w:tcPr>
            <w:tcW w:w="1418" w:type="dxa"/>
            <w:noWrap/>
            <w:hideMark/>
          </w:tcPr>
          <w:p w14:paraId="0F1E4F05"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31/03/2020</w:t>
            </w:r>
          </w:p>
        </w:tc>
        <w:tc>
          <w:tcPr>
            <w:tcW w:w="992" w:type="dxa"/>
            <w:noWrap/>
            <w:hideMark/>
          </w:tcPr>
          <w:p w14:paraId="18CA1968"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1C3D732A"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31/01/2020</w:t>
            </w:r>
          </w:p>
        </w:tc>
        <w:tc>
          <w:tcPr>
            <w:tcW w:w="1418" w:type="dxa"/>
            <w:noWrap/>
            <w:hideMark/>
          </w:tcPr>
          <w:p w14:paraId="7C77D790"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7,027.50</w:t>
            </w:r>
          </w:p>
        </w:tc>
      </w:tr>
      <w:tr w:rsidR="00C74952" w:rsidRPr="006802FE" w14:paraId="485B2D9A" w14:textId="77777777" w:rsidTr="006802FE">
        <w:trPr>
          <w:trHeight w:val="240"/>
        </w:trPr>
        <w:tc>
          <w:tcPr>
            <w:tcW w:w="5098" w:type="dxa"/>
            <w:noWrap/>
            <w:hideMark/>
          </w:tcPr>
          <w:p w14:paraId="35950B76"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Delft-FEWS Support &amp; Maintenance</w:t>
            </w:r>
          </w:p>
        </w:tc>
        <w:tc>
          <w:tcPr>
            <w:tcW w:w="1418" w:type="dxa"/>
            <w:noWrap/>
            <w:hideMark/>
          </w:tcPr>
          <w:p w14:paraId="31E58888"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31/03/2023</w:t>
            </w:r>
          </w:p>
        </w:tc>
        <w:tc>
          <w:tcPr>
            <w:tcW w:w="992" w:type="dxa"/>
            <w:noWrap/>
            <w:hideMark/>
          </w:tcPr>
          <w:p w14:paraId="4DB39B01"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7E4E47C8"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31/12/2022</w:t>
            </w:r>
          </w:p>
        </w:tc>
        <w:tc>
          <w:tcPr>
            <w:tcW w:w="1418" w:type="dxa"/>
            <w:noWrap/>
            <w:hideMark/>
          </w:tcPr>
          <w:p w14:paraId="1C24BC5E"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171,000.00</w:t>
            </w:r>
          </w:p>
        </w:tc>
      </w:tr>
      <w:tr w:rsidR="00C74952" w:rsidRPr="006802FE" w14:paraId="45ED1064" w14:textId="77777777" w:rsidTr="006802FE">
        <w:trPr>
          <w:trHeight w:val="240"/>
        </w:trPr>
        <w:tc>
          <w:tcPr>
            <w:tcW w:w="5098" w:type="dxa"/>
            <w:noWrap/>
            <w:hideMark/>
          </w:tcPr>
          <w:p w14:paraId="6CF14369"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Provision of Solvents and Fixatives</w:t>
            </w:r>
          </w:p>
        </w:tc>
        <w:tc>
          <w:tcPr>
            <w:tcW w:w="1418" w:type="dxa"/>
            <w:noWrap/>
            <w:hideMark/>
          </w:tcPr>
          <w:p w14:paraId="7EB40482"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17/09/2022</w:t>
            </w:r>
          </w:p>
        </w:tc>
        <w:tc>
          <w:tcPr>
            <w:tcW w:w="992" w:type="dxa"/>
            <w:noWrap/>
            <w:hideMark/>
          </w:tcPr>
          <w:p w14:paraId="5B1DE8AF"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12</w:t>
            </w:r>
          </w:p>
        </w:tc>
        <w:tc>
          <w:tcPr>
            <w:tcW w:w="1559" w:type="dxa"/>
            <w:noWrap/>
            <w:hideMark/>
          </w:tcPr>
          <w:p w14:paraId="25746C59"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20/05/2022</w:t>
            </w:r>
          </w:p>
        </w:tc>
        <w:tc>
          <w:tcPr>
            <w:tcW w:w="1418" w:type="dxa"/>
            <w:noWrap/>
            <w:hideMark/>
          </w:tcPr>
          <w:p w14:paraId="7E6D65F3"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70,000.00</w:t>
            </w:r>
          </w:p>
        </w:tc>
      </w:tr>
    </w:tbl>
    <w:p w14:paraId="329AA292" w14:textId="77777777" w:rsidR="00C74952" w:rsidRPr="006802FE" w:rsidRDefault="00C74952" w:rsidP="00C74952">
      <w:pPr>
        <w:spacing w:after="0"/>
        <w:rPr>
          <w:rFonts w:ascii="Arial" w:hAnsi="Arial" w:cs="Arial"/>
          <w:b/>
          <w:color w:val="FF0000"/>
          <w:sz w:val="24"/>
          <w:szCs w:val="24"/>
        </w:rPr>
      </w:pPr>
    </w:p>
    <w:p w14:paraId="715B977F" w14:textId="77777777" w:rsidR="00C74952" w:rsidRPr="006802FE" w:rsidRDefault="00C74952" w:rsidP="00C74952">
      <w:pPr>
        <w:spacing w:after="0"/>
        <w:rPr>
          <w:rFonts w:ascii="Arial" w:hAnsi="Arial" w:cs="Arial"/>
          <w:b/>
          <w:sz w:val="24"/>
          <w:szCs w:val="24"/>
        </w:rPr>
      </w:pPr>
      <w:r w:rsidRPr="006802FE">
        <w:rPr>
          <w:rFonts w:ascii="Arial" w:hAnsi="Arial" w:cs="Arial"/>
          <w:b/>
          <w:sz w:val="24"/>
          <w:szCs w:val="24"/>
        </w:rPr>
        <w:t>Performance and Innovation</w:t>
      </w:r>
    </w:p>
    <w:p w14:paraId="61CFE8E2" w14:textId="77777777" w:rsidR="00C74952" w:rsidRPr="00070B35" w:rsidRDefault="00C74952" w:rsidP="00C74952">
      <w:pPr>
        <w:spacing w:after="0"/>
        <w:rPr>
          <w:rFonts w:ascii="Arial" w:hAnsi="Arial" w:cs="Arial"/>
          <w:b/>
          <w:color w:val="FF0000"/>
        </w:rPr>
      </w:pPr>
    </w:p>
    <w:tbl>
      <w:tblPr>
        <w:tblStyle w:val="TableGrid"/>
        <w:tblW w:w="10519" w:type="dxa"/>
        <w:tblInd w:w="-34" w:type="dxa"/>
        <w:tblLayout w:type="fixed"/>
        <w:tblLook w:val="04A0" w:firstRow="1" w:lastRow="0" w:firstColumn="1" w:lastColumn="0" w:noHBand="0" w:noVBand="1"/>
      </w:tblPr>
      <w:tblGrid>
        <w:gridCol w:w="5132"/>
        <w:gridCol w:w="1418"/>
        <w:gridCol w:w="992"/>
        <w:gridCol w:w="1559"/>
        <w:gridCol w:w="1418"/>
      </w:tblGrid>
      <w:tr w:rsidR="00C74952" w:rsidRPr="006802FE" w14:paraId="2344E4D4" w14:textId="77777777" w:rsidTr="00005FAE">
        <w:trPr>
          <w:trHeight w:val="420"/>
        </w:trPr>
        <w:tc>
          <w:tcPr>
            <w:tcW w:w="5132" w:type="dxa"/>
            <w:shd w:val="clear" w:color="auto" w:fill="D9D9D9" w:themeFill="background1" w:themeFillShade="D9"/>
            <w:hideMark/>
          </w:tcPr>
          <w:p w14:paraId="002608C9" w14:textId="77777777" w:rsidR="00C74952" w:rsidRPr="006802FE" w:rsidRDefault="00C74952" w:rsidP="002F24A3">
            <w:pPr>
              <w:spacing w:after="0"/>
              <w:rPr>
                <w:rFonts w:ascii="Arial" w:hAnsi="Arial" w:cs="Arial"/>
                <w:b/>
                <w:bCs/>
                <w:sz w:val="24"/>
                <w:szCs w:val="24"/>
              </w:rPr>
            </w:pPr>
            <w:r w:rsidRPr="006802FE">
              <w:rPr>
                <w:rFonts w:ascii="Arial" w:hAnsi="Arial" w:cs="Arial"/>
                <w:b/>
                <w:bCs/>
                <w:sz w:val="24"/>
                <w:szCs w:val="24"/>
              </w:rPr>
              <w:t>Description</w:t>
            </w:r>
          </w:p>
        </w:tc>
        <w:tc>
          <w:tcPr>
            <w:tcW w:w="1418" w:type="dxa"/>
            <w:shd w:val="clear" w:color="auto" w:fill="D9D9D9" w:themeFill="background1" w:themeFillShade="D9"/>
            <w:hideMark/>
          </w:tcPr>
          <w:p w14:paraId="4E2BC2F6" w14:textId="77777777" w:rsidR="00C74952" w:rsidRPr="006802FE" w:rsidRDefault="00C74952" w:rsidP="002F24A3">
            <w:pPr>
              <w:spacing w:after="0"/>
              <w:jc w:val="center"/>
              <w:rPr>
                <w:rFonts w:ascii="Arial" w:hAnsi="Arial" w:cs="Arial"/>
                <w:b/>
                <w:bCs/>
                <w:sz w:val="24"/>
                <w:szCs w:val="24"/>
              </w:rPr>
            </w:pPr>
            <w:r w:rsidRPr="006802FE">
              <w:rPr>
                <w:rFonts w:ascii="Arial" w:hAnsi="Arial" w:cs="Arial"/>
                <w:b/>
                <w:bCs/>
                <w:sz w:val="24"/>
                <w:szCs w:val="24"/>
              </w:rPr>
              <w:t>End date</w:t>
            </w:r>
          </w:p>
        </w:tc>
        <w:tc>
          <w:tcPr>
            <w:tcW w:w="992" w:type="dxa"/>
            <w:shd w:val="clear" w:color="auto" w:fill="D9D9D9" w:themeFill="background1" w:themeFillShade="D9"/>
            <w:hideMark/>
          </w:tcPr>
          <w:p w14:paraId="7FE33D31" w14:textId="77777777" w:rsidR="00C74952" w:rsidRPr="006802FE" w:rsidRDefault="00C74952" w:rsidP="002F24A3">
            <w:pPr>
              <w:spacing w:after="0"/>
              <w:jc w:val="center"/>
              <w:rPr>
                <w:rFonts w:ascii="Arial" w:hAnsi="Arial" w:cs="Arial"/>
                <w:b/>
                <w:bCs/>
                <w:sz w:val="24"/>
                <w:szCs w:val="24"/>
              </w:rPr>
            </w:pPr>
            <w:r w:rsidRPr="006802FE">
              <w:rPr>
                <w:rFonts w:ascii="Arial" w:hAnsi="Arial" w:cs="Arial"/>
                <w:b/>
                <w:bCs/>
                <w:sz w:val="24"/>
                <w:szCs w:val="24"/>
              </w:rPr>
              <w:t>Ext</w:t>
            </w:r>
            <w:r w:rsidRPr="006802FE">
              <w:rPr>
                <w:rFonts w:ascii="Arial" w:hAnsi="Arial" w:cs="Arial"/>
                <w:b/>
                <w:bCs/>
                <w:sz w:val="24"/>
                <w:szCs w:val="24"/>
              </w:rPr>
              <w:br/>
              <w:t>(Mths)</w:t>
            </w:r>
          </w:p>
        </w:tc>
        <w:tc>
          <w:tcPr>
            <w:tcW w:w="1559" w:type="dxa"/>
            <w:shd w:val="clear" w:color="auto" w:fill="D9D9D9" w:themeFill="background1" w:themeFillShade="D9"/>
            <w:hideMark/>
          </w:tcPr>
          <w:p w14:paraId="4BAF899F" w14:textId="77777777" w:rsidR="00C74952" w:rsidRPr="006802FE" w:rsidRDefault="00C74952" w:rsidP="002F24A3">
            <w:pPr>
              <w:spacing w:after="0"/>
              <w:jc w:val="center"/>
              <w:rPr>
                <w:rFonts w:ascii="Arial" w:hAnsi="Arial" w:cs="Arial"/>
                <w:b/>
                <w:bCs/>
                <w:sz w:val="24"/>
                <w:szCs w:val="24"/>
              </w:rPr>
            </w:pPr>
            <w:r w:rsidRPr="006802FE">
              <w:rPr>
                <w:rFonts w:ascii="Arial" w:hAnsi="Arial" w:cs="Arial"/>
                <w:b/>
                <w:bCs/>
                <w:sz w:val="24"/>
                <w:szCs w:val="24"/>
              </w:rPr>
              <w:t>Review date</w:t>
            </w:r>
          </w:p>
        </w:tc>
        <w:tc>
          <w:tcPr>
            <w:tcW w:w="1418" w:type="dxa"/>
            <w:shd w:val="clear" w:color="auto" w:fill="D9D9D9" w:themeFill="background1" w:themeFillShade="D9"/>
            <w:hideMark/>
          </w:tcPr>
          <w:p w14:paraId="4CAD65BE" w14:textId="77777777" w:rsidR="006802FE" w:rsidRDefault="00C74952" w:rsidP="002F24A3">
            <w:pPr>
              <w:spacing w:after="0"/>
              <w:jc w:val="right"/>
              <w:rPr>
                <w:rFonts w:ascii="Arial" w:hAnsi="Arial" w:cs="Arial"/>
                <w:b/>
                <w:bCs/>
                <w:sz w:val="24"/>
                <w:szCs w:val="24"/>
              </w:rPr>
            </w:pPr>
            <w:r w:rsidRPr="006802FE">
              <w:rPr>
                <w:rFonts w:ascii="Arial" w:hAnsi="Arial" w:cs="Arial"/>
                <w:b/>
                <w:bCs/>
                <w:sz w:val="24"/>
                <w:szCs w:val="24"/>
              </w:rPr>
              <w:t xml:space="preserve">Value </w:t>
            </w:r>
          </w:p>
          <w:p w14:paraId="283F6650" w14:textId="112ED4FB" w:rsidR="00C74952" w:rsidRPr="006802FE" w:rsidRDefault="00C74952" w:rsidP="002F24A3">
            <w:pPr>
              <w:spacing w:after="0"/>
              <w:jc w:val="right"/>
              <w:rPr>
                <w:rFonts w:ascii="Arial" w:hAnsi="Arial" w:cs="Arial"/>
                <w:b/>
                <w:bCs/>
                <w:sz w:val="24"/>
                <w:szCs w:val="24"/>
              </w:rPr>
            </w:pPr>
            <w:r w:rsidRPr="006802FE">
              <w:rPr>
                <w:rFonts w:ascii="Arial" w:hAnsi="Arial" w:cs="Arial"/>
                <w:b/>
                <w:bCs/>
                <w:sz w:val="24"/>
                <w:szCs w:val="24"/>
              </w:rPr>
              <w:t>(Ex. VAT)</w:t>
            </w:r>
          </w:p>
        </w:tc>
      </w:tr>
      <w:tr w:rsidR="00C74952" w:rsidRPr="006802FE" w14:paraId="1C7752A7" w14:textId="77777777" w:rsidTr="00005FAE">
        <w:trPr>
          <w:trHeight w:val="240"/>
        </w:trPr>
        <w:tc>
          <w:tcPr>
            <w:tcW w:w="5132" w:type="dxa"/>
            <w:noWrap/>
            <w:hideMark/>
          </w:tcPr>
          <w:p w14:paraId="250B63B9"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Media Planning, Buying and Associated Services</w:t>
            </w:r>
          </w:p>
        </w:tc>
        <w:tc>
          <w:tcPr>
            <w:tcW w:w="1418" w:type="dxa"/>
            <w:noWrap/>
            <w:hideMark/>
          </w:tcPr>
          <w:p w14:paraId="40FD675B"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31/08/2023</w:t>
            </w:r>
          </w:p>
        </w:tc>
        <w:tc>
          <w:tcPr>
            <w:tcW w:w="992" w:type="dxa"/>
            <w:noWrap/>
            <w:hideMark/>
          </w:tcPr>
          <w:p w14:paraId="5472DBE8"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556B48EB"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02/06/2023</w:t>
            </w:r>
          </w:p>
        </w:tc>
        <w:tc>
          <w:tcPr>
            <w:tcW w:w="1418" w:type="dxa"/>
            <w:noWrap/>
            <w:hideMark/>
          </w:tcPr>
          <w:p w14:paraId="0FD93FF5"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190,000.00</w:t>
            </w:r>
          </w:p>
        </w:tc>
      </w:tr>
      <w:tr w:rsidR="00C74952" w:rsidRPr="006802FE" w14:paraId="53EC53EA" w14:textId="77777777" w:rsidTr="00005FAE">
        <w:trPr>
          <w:trHeight w:val="240"/>
        </w:trPr>
        <w:tc>
          <w:tcPr>
            <w:tcW w:w="5132" w:type="dxa"/>
            <w:noWrap/>
            <w:hideMark/>
          </w:tcPr>
          <w:p w14:paraId="28AA906F"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ENDS Library &amp; Information Service Subscription</w:t>
            </w:r>
          </w:p>
        </w:tc>
        <w:tc>
          <w:tcPr>
            <w:tcW w:w="1418" w:type="dxa"/>
            <w:noWrap/>
            <w:hideMark/>
          </w:tcPr>
          <w:p w14:paraId="3273BBE8"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31/05/2020</w:t>
            </w:r>
          </w:p>
        </w:tc>
        <w:tc>
          <w:tcPr>
            <w:tcW w:w="992" w:type="dxa"/>
            <w:noWrap/>
            <w:hideMark/>
          </w:tcPr>
          <w:p w14:paraId="1CFC74FF"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1C211994"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01/05/2020</w:t>
            </w:r>
          </w:p>
        </w:tc>
        <w:tc>
          <w:tcPr>
            <w:tcW w:w="1418" w:type="dxa"/>
            <w:noWrap/>
            <w:hideMark/>
          </w:tcPr>
          <w:p w14:paraId="3CDF0C6C"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21,327.00</w:t>
            </w:r>
          </w:p>
        </w:tc>
      </w:tr>
      <w:tr w:rsidR="00C74952" w:rsidRPr="006802FE" w14:paraId="7D5773BA" w14:textId="77777777" w:rsidTr="00005FAE">
        <w:trPr>
          <w:trHeight w:val="240"/>
        </w:trPr>
        <w:tc>
          <w:tcPr>
            <w:tcW w:w="5132" w:type="dxa"/>
            <w:noWrap/>
            <w:hideMark/>
          </w:tcPr>
          <w:p w14:paraId="2C5C1931"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NLA Newspaper Licensing</w:t>
            </w:r>
          </w:p>
        </w:tc>
        <w:tc>
          <w:tcPr>
            <w:tcW w:w="1418" w:type="dxa"/>
            <w:noWrap/>
            <w:hideMark/>
          </w:tcPr>
          <w:p w14:paraId="643F36D4"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22/09/2020</w:t>
            </w:r>
          </w:p>
        </w:tc>
        <w:tc>
          <w:tcPr>
            <w:tcW w:w="992" w:type="dxa"/>
            <w:noWrap/>
            <w:hideMark/>
          </w:tcPr>
          <w:p w14:paraId="68274E89"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46FCD0B6"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23/08/2020</w:t>
            </w:r>
          </w:p>
        </w:tc>
        <w:tc>
          <w:tcPr>
            <w:tcW w:w="1418" w:type="dxa"/>
            <w:noWrap/>
            <w:hideMark/>
          </w:tcPr>
          <w:p w14:paraId="6BDFA204"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10,936.80</w:t>
            </w:r>
          </w:p>
        </w:tc>
      </w:tr>
      <w:tr w:rsidR="00C74952" w:rsidRPr="006802FE" w14:paraId="6F536B2C" w14:textId="77777777" w:rsidTr="00005FAE">
        <w:trPr>
          <w:trHeight w:val="240"/>
        </w:trPr>
        <w:tc>
          <w:tcPr>
            <w:tcW w:w="5132" w:type="dxa"/>
            <w:noWrap/>
            <w:hideMark/>
          </w:tcPr>
          <w:p w14:paraId="1EFFA593"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Central Government Copyright Licence 2020-2021</w:t>
            </w:r>
          </w:p>
        </w:tc>
        <w:tc>
          <w:tcPr>
            <w:tcW w:w="1418" w:type="dxa"/>
            <w:noWrap/>
            <w:hideMark/>
          </w:tcPr>
          <w:p w14:paraId="507FCDBF"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31/03/2021</w:t>
            </w:r>
          </w:p>
        </w:tc>
        <w:tc>
          <w:tcPr>
            <w:tcW w:w="992" w:type="dxa"/>
            <w:noWrap/>
            <w:hideMark/>
          </w:tcPr>
          <w:p w14:paraId="5204EDF4"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2229941E"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01/03/2021</w:t>
            </w:r>
          </w:p>
        </w:tc>
        <w:tc>
          <w:tcPr>
            <w:tcW w:w="1418" w:type="dxa"/>
            <w:noWrap/>
            <w:hideMark/>
          </w:tcPr>
          <w:p w14:paraId="3023FAA5"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6,093.00</w:t>
            </w:r>
          </w:p>
        </w:tc>
      </w:tr>
      <w:tr w:rsidR="00C74952" w:rsidRPr="006802FE" w14:paraId="3CF682D7" w14:textId="77777777" w:rsidTr="00005FAE">
        <w:trPr>
          <w:trHeight w:val="240"/>
        </w:trPr>
        <w:tc>
          <w:tcPr>
            <w:tcW w:w="5132" w:type="dxa"/>
            <w:noWrap/>
            <w:hideMark/>
          </w:tcPr>
          <w:p w14:paraId="6E437204"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Copyright Licence</w:t>
            </w:r>
          </w:p>
        </w:tc>
        <w:tc>
          <w:tcPr>
            <w:tcW w:w="1418" w:type="dxa"/>
            <w:noWrap/>
            <w:hideMark/>
          </w:tcPr>
          <w:p w14:paraId="2C79E72F"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31/03/2020</w:t>
            </w:r>
          </w:p>
        </w:tc>
        <w:tc>
          <w:tcPr>
            <w:tcW w:w="992" w:type="dxa"/>
            <w:noWrap/>
            <w:hideMark/>
          </w:tcPr>
          <w:p w14:paraId="5BA6C6EC"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282A2533"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01/03/2020</w:t>
            </w:r>
          </w:p>
        </w:tc>
        <w:tc>
          <w:tcPr>
            <w:tcW w:w="1418" w:type="dxa"/>
            <w:noWrap/>
            <w:hideMark/>
          </w:tcPr>
          <w:p w14:paraId="73E1EAB8"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6,187.00</w:t>
            </w:r>
          </w:p>
        </w:tc>
      </w:tr>
      <w:tr w:rsidR="00C74952" w:rsidRPr="006802FE" w14:paraId="2700490E" w14:textId="77777777" w:rsidTr="00005FAE">
        <w:trPr>
          <w:trHeight w:val="240"/>
        </w:trPr>
        <w:tc>
          <w:tcPr>
            <w:tcW w:w="5132" w:type="dxa"/>
            <w:noWrap/>
            <w:hideMark/>
          </w:tcPr>
          <w:p w14:paraId="58063E75"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PR Services for DecomRegHub</w:t>
            </w:r>
          </w:p>
        </w:tc>
        <w:tc>
          <w:tcPr>
            <w:tcW w:w="1418" w:type="dxa"/>
            <w:noWrap/>
            <w:hideMark/>
          </w:tcPr>
          <w:p w14:paraId="0296EBDE"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28/02/2020</w:t>
            </w:r>
          </w:p>
        </w:tc>
        <w:tc>
          <w:tcPr>
            <w:tcW w:w="992" w:type="dxa"/>
            <w:noWrap/>
            <w:hideMark/>
          </w:tcPr>
          <w:p w14:paraId="72E3638F"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0</w:t>
            </w:r>
          </w:p>
        </w:tc>
        <w:tc>
          <w:tcPr>
            <w:tcW w:w="1559" w:type="dxa"/>
            <w:noWrap/>
            <w:hideMark/>
          </w:tcPr>
          <w:p w14:paraId="186F62D5"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29/01/2020</w:t>
            </w:r>
          </w:p>
        </w:tc>
        <w:tc>
          <w:tcPr>
            <w:tcW w:w="1418" w:type="dxa"/>
            <w:noWrap/>
            <w:hideMark/>
          </w:tcPr>
          <w:p w14:paraId="042F55EE"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44,000.00</w:t>
            </w:r>
          </w:p>
        </w:tc>
      </w:tr>
      <w:tr w:rsidR="00C74952" w:rsidRPr="006802FE" w14:paraId="76E3EC6C" w14:textId="77777777" w:rsidTr="00005FAE">
        <w:trPr>
          <w:trHeight w:val="240"/>
        </w:trPr>
        <w:tc>
          <w:tcPr>
            <w:tcW w:w="5132" w:type="dxa"/>
            <w:noWrap/>
            <w:hideMark/>
          </w:tcPr>
          <w:p w14:paraId="50FF5D66"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Asset Bank Cloud</w:t>
            </w:r>
          </w:p>
        </w:tc>
        <w:tc>
          <w:tcPr>
            <w:tcW w:w="1418" w:type="dxa"/>
            <w:noWrap/>
            <w:hideMark/>
          </w:tcPr>
          <w:p w14:paraId="6FAEFE8C"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06/10/2020</w:t>
            </w:r>
          </w:p>
        </w:tc>
        <w:tc>
          <w:tcPr>
            <w:tcW w:w="992" w:type="dxa"/>
            <w:noWrap/>
            <w:hideMark/>
          </w:tcPr>
          <w:p w14:paraId="276841AA" w14:textId="77777777" w:rsidR="00C74952" w:rsidRPr="006802FE" w:rsidRDefault="00C74952" w:rsidP="002F24A3">
            <w:pPr>
              <w:spacing w:after="0" w:line="240" w:lineRule="auto"/>
              <w:jc w:val="center"/>
              <w:rPr>
                <w:rFonts w:ascii="Arial" w:eastAsia="Times New Roman" w:hAnsi="Arial" w:cs="Arial"/>
                <w:sz w:val="24"/>
                <w:szCs w:val="24"/>
                <w:lang w:eastAsia="en-GB"/>
              </w:rPr>
            </w:pPr>
            <w:r w:rsidRPr="006802FE">
              <w:rPr>
                <w:rFonts w:ascii="Arial" w:eastAsia="Times New Roman" w:hAnsi="Arial" w:cs="Arial"/>
                <w:sz w:val="24"/>
                <w:szCs w:val="24"/>
                <w:lang w:eastAsia="en-GB"/>
              </w:rPr>
              <w:t>24</w:t>
            </w:r>
          </w:p>
        </w:tc>
        <w:tc>
          <w:tcPr>
            <w:tcW w:w="1559" w:type="dxa"/>
            <w:noWrap/>
            <w:hideMark/>
          </w:tcPr>
          <w:p w14:paraId="65ABD386" w14:textId="77777777" w:rsidR="00C74952" w:rsidRPr="006802FE" w:rsidRDefault="00C74952" w:rsidP="002F24A3">
            <w:pPr>
              <w:spacing w:after="0" w:line="240" w:lineRule="auto"/>
              <w:rPr>
                <w:rFonts w:ascii="Arial" w:eastAsia="Times New Roman" w:hAnsi="Arial" w:cs="Arial"/>
                <w:sz w:val="24"/>
                <w:szCs w:val="24"/>
                <w:lang w:eastAsia="en-GB"/>
              </w:rPr>
            </w:pPr>
            <w:r w:rsidRPr="006802FE">
              <w:rPr>
                <w:rFonts w:ascii="Arial" w:eastAsia="Times New Roman" w:hAnsi="Arial" w:cs="Arial"/>
                <w:sz w:val="24"/>
                <w:szCs w:val="24"/>
                <w:lang w:eastAsia="en-GB"/>
              </w:rPr>
              <w:t>07/08/2020</w:t>
            </w:r>
          </w:p>
        </w:tc>
        <w:tc>
          <w:tcPr>
            <w:tcW w:w="1418" w:type="dxa"/>
            <w:noWrap/>
            <w:hideMark/>
          </w:tcPr>
          <w:p w14:paraId="0BDEA170" w14:textId="77777777" w:rsidR="00C74952" w:rsidRPr="006802FE" w:rsidRDefault="00C74952" w:rsidP="002F24A3">
            <w:pPr>
              <w:spacing w:after="0" w:line="240" w:lineRule="auto"/>
              <w:jc w:val="right"/>
              <w:rPr>
                <w:rFonts w:ascii="Arial" w:eastAsia="Times New Roman" w:hAnsi="Arial" w:cs="Arial"/>
                <w:sz w:val="24"/>
                <w:szCs w:val="24"/>
                <w:lang w:eastAsia="en-GB"/>
              </w:rPr>
            </w:pPr>
            <w:r w:rsidRPr="006802FE">
              <w:rPr>
                <w:rFonts w:ascii="Arial" w:eastAsia="Times New Roman" w:hAnsi="Arial" w:cs="Arial"/>
                <w:sz w:val="24"/>
                <w:szCs w:val="24"/>
                <w:lang w:eastAsia="en-GB"/>
              </w:rPr>
              <w:t>13,200.00</w:t>
            </w:r>
          </w:p>
        </w:tc>
      </w:tr>
    </w:tbl>
    <w:p w14:paraId="20F1E7EB" w14:textId="77777777" w:rsidR="00C74952" w:rsidRPr="00070B35" w:rsidRDefault="00C74952" w:rsidP="00C74952">
      <w:pPr>
        <w:spacing w:after="0"/>
        <w:rPr>
          <w:rFonts w:ascii="Arial" w:hAnsi="Arial" w:cs="Arial"/>
          <w:b/>
          <w:color w:val="FF0000"/>
        </w:rPr>
      </w:pPr>
    </w:p>
    <w:p w14:paraId="2D239B69" w14:textId="77777777" w:rsidR="00C74952" w:rsidRPr="00005FAE" w:rsidRDefault="00C74952" w:rsidP="00C74952">
      <w:pPr>
        <w:spacing w:after="0"/>
        <w:rPr>
          <w:rFonts w:ascii="Arial" w:hAnsi="Arial" w:cs="Arial"/>
          <w:b/>
          <w:sz w:val="24"/>
          <w:szCs w:val="24"/>
        </w:rPr>
      </w:pPr>
      <w:r w:rsidRPr="00005FAE">
        <w:rPr>
          <w:rFonts w:ascii="Arial" w:hAnsi="Arial" w:cs="Arial"/>
          <w:b/>
          <w:sz w:val="24"/>
          <w:szCs w:val="24"/>
        </w:rPr>
        <w:t>People and Property</w:t>
      </w:r>
    </w:p>
    <w:p w14:paraId="4A0DCA89" w14:textId="77777777" w:rsidR="00C74952" w:rsidRPr="00070B35" w:rsidRDefault="00C74952" w:rsidP="00C74952">
      <w:pPr>
        <w:spacing w:after="0"/>
        <w:ind w:left="-426"/>
        <w:rPr>
          <w:rFonts w:ascii="Arial" w:hAnsi="Arial" w:cs="Arial"/>
          <w:b/>
          <w:color w:val="FF0000"/>
        </w:rPr>
      </w:pPr>
    </w:p>
    <w:tbl>
      <w:tblPr>
        <w:tblStyle w:val="TableGrid"/>
        <w:tblW w:w="10514" w:type="dxa"/>
        <w:tblInd w:w="-34" w:type="dxa"/>
        <w:tblLook w:val="04A0" w:firstRow="1" w:lastRow="0" w:firstColumn="1" w:lastColumn="0" w:noHBand="0" w:noVBand="1"/>
      </w:tblPr>
      <w:tblGrid>
        <w:gridCol w:w="4973"/>
        <w:gridCol w:w="1490"/>
        <w:gridCol w:w="1033"/>
        <w:gridCol w:w="1420"/>
        <w:gridCol w:w="1598"/>
      </w:tblGrid>
      <w:tr w:rsidR="00C74952" w:rsidRPr="00005FAE" w14:paraId="136C986E" w14:textId="77777777" w:rsidTr="00005FAE">
        <w:trPr>
          <w:trHeight w:val="552"/>
        </w:trPr>
        <w:tc>
          <w:tcPr>
            <w:tcW w:w="5042" w:type="dxa"/>
            <w:shd w:val="clear" w:color="auto" w:fill="D9D9D9" w:themeFill="background1" w:themeFillShade="D9"/>
            <w:hideMark/>
          </w:tcPr>
          <w:p w14:paraId="0E1FB6E0" w14:textId="77777777" w:rsidR="00C74952" w:rsidRPr="00005FAE" w:rsidRDefault="00C74952" w:rsidP="002F24A3">
            <w:pPr>
              <w:spacing w:after="0"/>
              <w:ind w:left="40"/>
              <w:rPr>
                <w:rFonts w:ascii="Arial" w:hAnsi="Arial" w:cs="Arial"/>
                <w:b/>
                <w:bCs/>
                <w:sz w:val="24"/>
                <w:szCs w:val="24"/>
              </w:rPr>
            </w:pPr>
            <w:r w:rsidRPr="00005FAE">
              <w:rPr>
                <w:rFonts w:ascii="Arial" w:hAnsi="Arial" w:cs="Arial"/>
                <w:b/>
                <w:bCs/>
                <w:sz w:val="24"/>
                <w:szCs w:val="24"/>
              </w:rPr>
              <w:t>Description</w:t>
            </w:r>
          </w:p>
        </w:tc>
        <w:tc>
          <w:tcPr>
            <w:tcW w:w="1508" w:type="dxa"/>
            <w:shd w:val="clear" w:color="auto" w:fill="D9D9D9" w:themeFill="background1" w:themeFillShade="D9"/>
            <w:hideMark/>
          </w:tcPr>
          <w:p w14:paraId="71B75F54" w14:textId="77777777" w:rsidR="00C74952" w:rsidRPr="00005FAE" w:rsidRDefault="00C74952" w:rsidP="00005FAE">
            <w:pPr>
              <w:spacing w:after="0"/>
              <w:ind w:left="45"/>
              <w:jc w:val="center"/>
              <w:rPr>
                <w:rFonts w:ascii="Arial" w:hAnsi="Arial" w:cs="Arial"/>
                <w:b/>
                <w:bCs/>
                <w:sz w:val="24"/>
                <w:szCs w:val="24"/>
              </w:rPr>
            </w:pPr>
            <w:r w:rsidRPr="00005FAE">
              <w:rPr>
                <w:rFonts w:ascii="Arial" w:hAnsi="Arial" w:cs="Arial"/>
                <w:b/>
                <w:bCs/>
                <w:sz w:val="24"/>
                <w:szCs w:val="24"/>
              </w:rPr>
              <w:t>Date To</w:t>
            </w:r>
          </w:p>
        </w:tc>
        <w:tc>
          <w:tcPr>
            <w:tcW w:w="1045" w:type="dxa"/>
            <w:shd w:val="clear" w:color="auto" w:fill="D9D9D9" w:themeFill="background1" w:themeFillShade="D9"/>
            <w:hideMark/>
          </w:tcPr>
          <w:p w14:paraId="22D0FCF3" w14:textId="77777777" w:rsidR="00C74952" w:rsidRPr="00005FAE" w:rsidRDefault="00C74952" w:rsidP="002F24A3">
            <w:pPr>
              <w:spacing w:after="0"/>
              <w:ind w:left="-103"/>
              <w:jc w:val="center"/>
              <w:rPr>
                <w:rFonts w:ascii="Arial" w:hAnsi="Arial" w:cs="Arial"/>
                <w:b/>
                <w:bCs/>
                <w:sz w:val="24"/>
                <w:szCs w:val="24"/>
              </w:rPr>
            </w:pPr>
            <w:r w:rsidRPr="00005FAE">
              <w:rPr>
                <w:rFonts w:ascii="Arial" w:hAnsi="Arial" w:cs="Arial"/>
                <w:b/>
                <w:bCs/>
                <w:sz w:val="24"/>
                <w:szCs w:val="24"/>
              </w:rPr>
              <w:t>Ext</w:t>
            </w:r>
          </w:p>
          <w:p w14:paraId="4684AB40" w14:textId="77777777" w:rsidR="00C74952" w:rsidRPr="00005FAE" w:rsidRDefault="00C74952" w:rsidP="002F24A3">
            <w:pPr>
              <w:spacing w:after="0"/>
              <w:ind w:left="-103"/>
              <w:jc w:val="center"/>
              <w:rPr>
                <w:rFonts w:ascii="Arial" w:hAnsi="Arial" w:cs="Arial"/>
                <w:b/>
                <w:bCs/>
                <w:sz w:val="24"/>
                <w:szCs w:val="24"/>
              </w:rPr>
            </w:pPr>
            <w:r w:rsidRPr="00005FAE">
              <w:rPr>
                <w:rFonts w:ascii="Arial" w:hAnsi="Arial" w:cs="Arial"/>
                <w:b/>
                <w:bCs/>
                <w:sz w:val="24"/>
                <w:szCs w:val="24"/>
              </w:rPr>
              <w:t>(Mths)</w:t>
            </w:r>
          </w:p>
        </w:tc>
        <w:tc>
          <w:tcPr>
            <w:tcW w:w="1437" w:type="dxa"/>
            <w:shd w:val="clear" w:color="auto" w:fill="D9D9D9" w:themeFill="background1" w:themeFillShade="D9"/>
            <w:hideMark/>
          </w:tcPr>
          <w:p w14:paraId="6AAAA032" w14:textId="77777777" w:rsidR="00C74952" w:rsidRPr="00005FAE" w:rsidRDefault="00C74952" w:rsidP="00005FAE">
            <w:pPr>
              <w:spacing w:after="0"/>
              <w:ind w:left="71"/>
              <w:jc w:val="center"/>
              <w:rPr>
                <w:rFonts w:ascii="Arial" w:hAnsi="Arial" w:cs="Arial"/>
                <w:b/>
                <w:bCs/>
                <w:sz w:val="24"/>
                <w:szCs w:val="24"/>
              </w:rPr>
            </w:pPr>
            <w:r w:rsidRPr="00005FAE">
              <w:rPr>
                <w:rFonts w:ascii="Arial" w:hAnsi="Arial" w:cs="Arial"/>
                <w:b/>
                <w:bCs/>
                <w:sz w:val="24"/>
                <w:szCs w:val="24"/>
              </w:rPr>
              <w:t>Review Date</w:t>
            </w:r>
          </w:p>
        </w:tc>
        <w:tc>
          <w:tcPr>
            <w:tcW w:w="1482" w:type="dxa"/>
            <w:shd w:val="clear" w:color="auto" w:fill="D9D9D9" w:themeFill="background1" w:themeFillShade="D9"/>
            <w:hideMark/>
          </w:tcPr>
          <w:p w14:paraId="0B2A515C" w14:textId="77777777" w:rsidR="00005FAE" w:rsidRPr="00005FAE" w:rsidRDefault="00005FAE" w:rsidP="00005FAE">
            <w:pPr>
              <w:spacing w:after="0"/>
              <w:ind w:left="65"/>
              <w:jc w:val="right"/>
              <w:rPr>
                <w:rFonts w:ascii="Arial" w:hAnsi="Arial" w:cs="Arial"/>
                <w:b/>
                <w:bCs/>
                <w:sz w:val="24"/>
                <w:szCs w:val="24"/>
              </w:rPr>
            </w:pPr>
            <w:r w:rsidRPr="00005FAE">
              <w:rPr>
                <w:rFonts w:ascii="Arial" w:hAnsi="Arial" w:cs="Arial"/>
                <w:b/>
                <w:bCs/>
                <w:sz w:val="24"/>
                <w:szCs w:val="24"/>
              </w:rPr>
              <w:t xml:space="preserve">Value </w:t>
            </w:r>
          </w:p>
          <w:p w14:paraId="2ED09839" w14:textId="717FF356" w:rsidR="00C74952" w:rsidRPr="00005FAE" w:rsidRDefault="00005FAE" w:rsidP="00005FAE">
            <w:pPr>
              <w:spacing w:after="0"/>
              <w:ind w:left="65"/>
              <w:jc w:val="right"/>
              <w:rPr>
                <w:rFonts w:ascii="Arial" w:hAnsi="Arial" w:cs="Arial"/>
                <w:b/>
                <w:bCs/>
                <w:sz w:val="24"/>
                <w:szCs w:val="24"/>
              </w:rPr>
            </w:pPr>
            <w:r w:rsidRPr="00005FAE">
              <w:rPr>
                <w:rFonts w:ascii="Arial" w:hAnsi="Arial" w:cs="Arial"/>
                <w:b/>
                <w:bCs/>
                <w:sz w:val="24"/>
                <w:szCs w:val="24"/>
              </w:rPr>
              <w:t>(Ex. VAT)</w:t>
            </w:r>
          </w:p>
        </w:tc>
      </w:tr>
      <w:tr w:rsidR="00C74952" w:rsidRPr="00005FAE" w14:paraId="43E6C96C" w14:textId="77777777" w:rsidTr="00005FAE">
        <w:trPr>
          <w:trHeight w:val="240"/>
        </w:trPr>
        <w:tc>
          <w:tcPr>
            <w:tcW w:w="5042" w:type="dxa"/>
            <w:noWrap/>
            <w:hideMark/>
          </w:tcPr>
          <w:p w14:paraId="48205FA5" w14:textId="77777777" w:rsidR="00C74952" w:rsidRPr="00005FAE" w:rsidRDefault="00C74952" w:rsidP="002F24A3">
            <w:pPr>
              <w:spacing w:after="0" w:line="240" w:lineRule="auto"/>
              <w:rPr>
                <w:rFonts w:ascii="Arial" w:eastAsia="Times New Roman" w:hAnsi="Arial" w:cs="Arial"/>
                <w:sz w:val="24"/>
                <w:szCs w:val="24"/>
                <w:lang w:eastAsia="en-GB"/>
              </w:rPr>
            </w:pPr>
            <w:r w:rsidRPr="00005FAE">
              <w:rPr>
                <w:rFonts w:ascii="Arial" w:eastAsia="Times New Roman" w:hAnsi="Arial" w:cs="Arial"/>
                <w:sz w:val="24"/>
                <w:szCs w:val="24"/>
                <w:lang w:eastAsia="en-GB"/>
              </w:rPr>
              <w:t>1 x e-NV200 Nissan Electric Van</w:t>
            </w:r>
          </w:p>
        </w:tc>
        <w:tc>
          <w:tcPr>
            <w:tcW w:w="1508" w:type="dxa"/>
            <w:noWrap/>
            <w:hideMark/>
          </w:tcPr>
          <w:p w14:paraId="1D0212D0" w14:textId="77777777" w:rsidR="00C74952" w:rsidRPr="00005FAE" w:rsidRDefault="00C74952" w:rsidP="002F24A3">
            <w:pPr>
              <w:spacing w:after="0" w:line="240" w:lineRule="auto"/>
              <w:jc w:val="right"/>
              <w:rPr>
                <w:rFonts w:ascii="Arial" w:eastAsia="Times New Roman" w:hAnsi="Arial" w:cs="Arial"/>
                <w:sz w:val="24"/>
                <w:szCs w:val="24"/>
                <w:lang w:eastAsia="en-GB"/>
              </w:rPr>
            </w:pPr>
            <w:r w:rsidRPr="00005FAE">
              <w:rPr>
                <w:rFonts w:ascii="Arial" w:eastAsia="Times New Roman" w:hAnsi="Arial" w:cs="Arial"/>
                <w:sz w:val="24"/>
                <w:szCs w:val="24"/>
                <w:lang w:eastAsia="en-GB"/>
              </w:rPr>
              <w:t>31/03/2020</w:t>
            </w:r>
          </w:p>
        </w:tc>
        <w:tc>
          <w:tcPr>
            <w:tcW w:w="1045" w:type="dxa"/>
            <w:noWrap/>
            <w:hideMark/>
          </w:tcPr>
          <w:p w14:paraId="73986F2E" w14:textId="77777777" w:rsidR="00C74952" w:rsidRPr="00005FAE" w:rsidRDefault="00C74952" w:rsidP="002F24A3">
            <w:pPr>
              <w:spacing w:after="0" w:line="240" w:lineRule="auto"/>
              <w:jc w:val="center"/>
              <w:rPr>
                <w:rFonts w:ascii="Arial" w:eastAsia="Times New Roman" w:hAnsi="Arial" w:cs="Arial"/>
                <w:sz w:val="24"/>
                <w:szCs w:val="24"/>
                <w:lang w:eastAsia="en-GB"/>
              </w:rPr>
            </w:pPr>
            <w:r w:rsidRPr="00005FAE">
              <w:rPr>
                <w:rFonts w:ascii="Arial" w:eastAsia="Times New Roman" w:hAnsi="Arial" w:cs="Arial"/>
                <w:sz w:val="24"/>
                <w:szCs w:val="24"/>
                <w:lang w:eastAsia="en-GB"/>
              </w:rPr>
              <w:t>0</w:t>
            </w:r>
          </w:p>
        </w:tc>
        <w:tc>
          <w:tcPr>
            <w:tcW w:w="1437" w:type="dxa"/>
            <w:noWrap/>
            <w:hideMark/>
          </w:tcPr>
          <w:p w14:paraId="39EE2BB3" w14:textId="77777777" w:rsidR="00C74952" w:rsidRPr="00005FAE" w:rsidRDefault="00C74952" w:rsidP="002F24A3">
            <w:pPr>
              <w:spacing w:after="0" w:line="240" w:lineRule="auto"/>
              <w:rPr>
                <w:rFonts w:ascii="Arial" w:eastAsia="Times New Roman" w:hAnsi="Arial" w:cs="Arial"/>
                <w:sz w:val="24"/>
                <w:szCs w:val="24"/>
                <w:lang w:eastAsia="en-GB"/>
              </w:rPr>
            </w:pPr>
            <w:r w:rsidRPr="00005FAE">
              <w:rPr>
                <w:rFonts w:ascii="Arial" w:eastAsia="Times New Roman" w:hAnsi="Arial" w:cs="Arial"/>
                <w:sz w:val="24"/>
                <w:szCs w:val="24"/>
                <w:lang w:eastAsia="en-GB"/>
              </w:rPr>
              <w:t>31/03/2020</w:t>
            </w:r>
          </w:p>
        </w:tc>
        <w:tc>
          <w:tcPr>
            <w:tcW w:w="1482" w:type="dxa"/>
            <w:noWrap/>
            <w:hideMark/>
          </w:tcPr>
          <w:p w14:paraId="010F52C4" w14:textId="77777777" w:rsidR="00C74952" w:rsidRPr="00005FAE" w:rsidRDefault="00C74952" w:rsidP="002F24A3">
            <w:pPr>
              <w:spacing w:after="0" w:line="240" w:lineRule="auto"/>
              <w:jc w:val="right"/>
              <w:rPr>
                <w:rFonts w:ascii="Arial" w:eastAsia="Times New Roman" w:hAnsi="Arial" w:cs="Arial"/>
                <w:sz w:val="24"/>
                <w:szCs w:val="24"/>
                <w:lang w:eastAsia="en-GB"/>
              </w:rPr>
            </w:pPr>
            <w:r w:rsidRPr="00005FAE">
              <w:rPr>
                <w:rFonts w:ascii="Arial" w:eastAsia="Times New Roman" w:hAnsi="Arial" w:cs="Arial"/>
                <w:sz w:val="24"/>
                <w:szCs w:val="24"/>
                <w:lang w:eastAsia="en-GB"/>
              </w:rPr>
              <w:t>19,834.00</w:t>
            </w:r>
          </w:p>
        </w:tc>
      </w:tr>
      <w:tr w:rsidR="00C74952" w:rsidRPr="00005FAE" w14:paraId="155DC527" w14:textId="77777777" w:rsidTr="00005FAE">
        <w:trPr>
          <w:trHeight w:val="240"/>
        </w:trPr>
        <w:tc>
          <w:tcPr>
            <w:tcW w:w="5042" w:type="dxa"/>
            <w:noWrap/>
            <w:hideMark/>
          </w:tcPr>
          <w:p w14:paraId="07CA1220" w14:textId="77777777" w:rsidR="00C74952" w:rsidRPr="00005FAE" w:rsidRDefault="00C74952" w:rsidP="002F24A3">
            <w:pPr>
              <w:spacing w:after="0" w:line="240" w:lineRule="auto"/>
              <w:rPr>
                <w:rFonts w:ascii="Arial" w:eastAsia="Times New Roman" w:hAnsi="Arial" w:cs="Arial"/>
                <w:sz w:val="24"/>
                <w:szCs w:val="24"/>
                <w:lang w:eastAsia="en-GB"/>
              </w:rPr>
            </w:pPr>
            <w:r w:rsidRPr="00005FAE">
              <w:rPr>
                <w:rFonts w:ascii="Arial" w:eastAsia="Times New Roman" w:hAnsi="Arial" w:cs="Arial"/>
                <w:sz w:val="24"/>
                <w:szCs w:val="24"/>
                <w:lang w:eastAsia="en-GB"/>
              </w:rPr>
              <w:t>2 x e-NV200 Nissan Electric Vans</w:t>
            </w:r>
          </w:p>
        </w:tc>
        <w:tc>
          <w:tcPr>
            <w:tcW w:w="1508" w:type="dxa"/>
            <w:noWrap/>
            <w:hideMark/>
          </w:tcPr>
          <w:p w14:paraId="6E26050D" w14:textId="77777777" w:rsidR="00C74952" w:rsidRPr="00005FAE" w:rsidRDefault="00C74952" w:rsidP="002F24A3">
            <w:pPr>
              <w:spacing w:after="0" w:line="240" w:lineRule="auto"/>
              <w:jc w:val="right"/>
              <w:rPr>
                <w:rFonts w:ascii="Arial" w:eastAsia="Times New Roman" w:hAnsi="Arial" w:cs="Arial"/>
                <w:sz w:val="24"/>
                <w:szCs w:val="24"/>
                <w:lang w:eastAsia="en-GB"/>
              </w:rPr>
            </w:pPr>
            <w:r w:rsidRPr="00005FAE">
              <w:rPr>
                <w:rFonts w:ascii="Arial" w:eastAsia="Times New Roman" w:hAnsi="Arial" w:cs="Arial"/>
                <w:sz w:val="24"/>
                <w:szCs w:val="24"/>
                <w:lang w:eastAsia="en-GB"/>
              </w:rPr>
              <w:t>31/03/2020</w:t>
            </w:r>
          </w:p>
        </w:tc>
        <w:tc>
          <w:tcPr>
            <w:tcW w:w="1045" w:type="dxa"/>
            <w:noWrap/>
            <w:hideMark/>
          </w:tcPr>
          <w:p w14:paraId="439CC31A" w14:textId="77777777" w:rsidR="00C74952" w:rsidRPr="00005FAE" w:rsidRDefault="00C74952" w:rsidP="002F24A3">
            <w:pPr>
              <w:spacing w:after="0" w:line="240" w:lineRule="auto"/>
              <w:jc w:val="center"/>
              <w:rPr>
                <w:rFonts w:ascii="Arial" w:eastAsia="Times New Roman" w:hAnsi="Arial" w:cs="Arial"/>
                <w:sz w:val="24"/>
                <w:szCs w:val="24"/>
                <w:lang w:eastAsia="en-GB"/>
              </w:rPr>
            </w:pPr>
            <w:r w:rsidRPr="00005FAE">
              <w:rPr>
                <w:rFonts w:ascii="Arial" w:eastAsia="Times New Roman" w:hAnsi="Arial" w:cs="Arial"/>
                <w:sz w:val="24"/>
                <w:szCs w:val="24"/>
                <w:lang w:eastAsia="en-GB"/>
              </w:rPr>
              <w:t>0</w:t>
            </w:r>
          </w:p>
        </w:tc>
        <w:tc>
          <w:tcPr>
            <w:tcW w:w="1437" w:type="dxa"/>
            <w:noWrap/>
            <w:hideMark/>
          </w:tcPr>
          <w:p w14:paraId="6FF58E31" w14:textId="77777777" w:rsidR="00C74952" w:rsidRPr="00005FAE" w:rsidRDefault="00C74952" w:rsidP="002F24A3">
            <w:pPr>
              <w:spacing w:after="0" w:line="240" w:lineRule="auto"/>
              <w:rPr>
                <w:rFonts w:ascii="Arial" w:eastAsia="Times New Roman" w:hAnsi="Arial" w:cs="Arial"/>
                <w:sz w:val="24"/>
                <w:szCs w:val="24"/>
                <w:lang w:eastAsia="en-GB"/>
              </w:rPr>
            </w:pPr>
            <w:r w:rsidRPr="00005FAE">
              <w:rPr>
                <w:rFonts w:ascii="Arial" w:eastAsia="Times New Roman" w:hAnsi="Arial" w:cs="Arial"/>
                <w:sz w:val="24"/>
                <w:szCs w:val="24"/>
                <w:lang w:eastAsia="en-GB"/>
              </w:rPr>
              <w:t>31/03/2020</w:t>
            </w:r>
          </w:p>
        </w:tc>
        <w:tc>
          <w:tcPr>
            <w:tcW w:w="1482" w:type="dxa"/>
            <w:noWrap/>
            <w:hideMark/>
          </w:tcPr>
          <w:p w14:paraId="3A5CCE29" w14:textId="77777777" w:rsidR="00C74952" w:rsidRPr="00005FAE" w:rsidRDefault="00C74952" w:rsidP="002F24A3">
            <w:pPr>
              <w:spacing w:after="0" w:line="240" w:lineRule="auto"/>
              <w:jc w:val="right"/>
              <w:rPr>
                <w:rFonts w:ascii="Arial" w:eastAsia="Times New Roman" w:hAnsi="Arial" w:cs="Arial"/>
                <w:sz w:val="24"/>
                <w:szCs w:val="24"/>
                <w:lang w:eastAsia="en-GB"/>
              </w:rPr>
            </w:pPr>
            <w:r w:rsidRPr="00005FAE">
              <w:rPr>
                <w:rFonts w:ascii="Arial" w:eastAsia="Times New Roman" w:hAnsi="Arial" w:cs="Arial"/>
                <w:sz w:val="24"/>
                <w:szCs w:val="24"/>
                <w:lang w:eastAsia="en-GB"/>
              </w:rPr>
              <w:t>50,047.20</w:t>
            </w:r>
          </w:p>
        </w:tc>
      </w:tr>
      <w:tr w:rsidR="00C74952" w:rsidRPr="00005FAE" w14:paraId="53A56E7A" w14:textId="77777777" w:rsidTr="00005FAE">
        <w:trPr>
          <w:trHeight w:val="240"/>
        </w:trPr>
        <w:tc>
          <w:tcPr>
            <w:tcW w:w="5042" w:type="dxa"/>
            <w:noWrap/>
            <w:hideMark/>
          </w:tcPr>
          <w:p w14:paraId="49611CDE" w14:textId="77777777" w:rsidR="00C74952" w:rsidRPr="00005FAE" w:rsidRDefault="00C74952" w:rsidP="002F24A3">
            <w:pPr>
              <w:spacing w:after="0" w:line="240" w:lineRule="auto"/>
              <w:rPr>
                <w:rFonts w:ascii="Arial" w:eastAsia="Times New Roman" w:hAnsi="Arial" w:cs="Arial"/>
                <w:sz w:val="24"/>
                <w:szCs w:val="24"/>
                <w:lang w:eastAsia="en-GB"/>
              </w:rPr>
            </w:pPr>
            <w:r w:rsidRPr="00005FAE">
              <w:rPr>
                <w:rFonts w:ascii="Arial" w:eastAsia="Times New Roman" w:hAnsi="Arial" w:cs="Arial"/>
                <w:sz w:val="24"/>
                <w:szCs w:val="24"/>
                <w:lang w:eastAsia="en-GB"/>
              </w:rPr>
              <w:t>3 x Black Renault Zoe Hatchback</w:t>
            </w:r>
          </w:p>
        </w:tc>
        <w:tc>
          <w:tcPr>
            <w:tcW w:w="1508" w:type="dxa"/>
            <w:noWrap/>
            <w:hideMark/>
          </w:tcPr>
          <w:p w14:paraId="2D9D573A" w14:textId="77777777" w:rsidR="00C74952" w:rsidRPr="00005FAE" w:rsidRDefault="00C74952" w:rsidP="002F24A3">
            <w:pPr>
              <w:spacing w:after="0" w:line="240" w:lineRule="auto"/>
              <w:jc w:val="right"/>
              <w:rPr>
                <w:rFonts w:ascii="Arial" w:eastAsia="Times New Roman" w:hAnsi="Arial" w:cs="Arial"/>
                <w:sz w:val="24"/>
                <w:szCs w:val="24"/>
                <w:lang w:eastAsia="en-GB"/>
              </w:rPr>
            </w:pPr>
            <w:r w:rsidRPr="00005FAE">
              <w:rPr>
                <w:rFonts w:ascii="Arial" w:eastAsia="Times New Roman" w:hAnsi="Arial" w:cs="Arial"/>
                <w:sz w:val="24"/>
                <w:szCs w:val="24"/>
                <w:lang w:eastAsia="en-GB"/>
              </w:rPr>
              <w:t>31/03/2020</w:t>
            </w:r>
          </w:p>
        </w:tc>
        <w:tc>
          <w:tcPr>
            <w:tcW w:w="1045" w:type="dxa"/>
            <w:noWrap/>
            <w:hideMark/>
          </w:tcPr>
          <w:p w14:paraId="0828191A" w14:textId="77777777" w:rsidR="00C74952" w:rsidRPr="00005FAE" w:rsidRDefault="00C74952" w:rsidP="002F24A3">
            <w:pPr>
              <w:spacing w:after="0" w:line="240" w:lineRule="auto"/>
              <w:jc w:val="center"/>
              <w:rPr>
                <w:rFonts w:ascii="Arial" w:eastAsia="Times New Roman" w:hAnsi="Arial" w:cs="Arial"/>
                <w:sz w:val="24"/>
                <w:szCs w:val="24"/>
                <w:lang w:eastAsia="en-GB"/>
              </w:rPr>
            </w:pPr>
            <w:r w:rsidRPr="00005FAE">
              <w:rPr>
                <w:rFonts w:ascii="Arial" w:eastAsia="Times New Roman" w:hAnsi="Arial" w:cs="Arial"/>
                <w:sz w:val="24"/>
                <w:szCs w:val="24"/>
                <w:lang w:eastAsia="en-GB"/>
              </w:rPr>
              <w:t>0</w:t>
            </w:r>
          </w:p>
        </w:tc>
        <w:tc>
          <w:tcPr>
            <w:tcW w:w="1437" w:type="dxa"/>
            <w:noWrap/>
            <w:hideMark/>
          </w:tcPr>
          <w:p w14:paraId="0557A36F" w14:textId="77777777" w:rsidR="00C74952" w:rsidRPr="00005FAE" w:rsidRDefault="00C74952" w:rsidP="002F24A3">
            <w:pPr>
              <w:spacing w:after="0" w:line="240" w:lineRule="auto"/>
              <w:rPr>
                <w:rFonts w:ascii="Arial" w:eastAsia="Times New Roman" w:hAnsi="Arial" w:cs="Arial"/>
                <w:sz w:val="24"/>
                <w:szCs w:val="24"/>
                <w:lang w:eastAsia="en-GB"/>
              </w:rPr>
            </w:pPr>
            <w:r w:rsidRPr="00005FAE">
              <w:rPr>
                <w:rFonts w:ascii="Arial" w:eastAsia="Times New Roman" w:hAnsi="Arial" w:cs="Arial"/>
                <w:sz w:val="24"/>
                <w:szCs w:val="24"/>
                <w:lang w:eastAsia="en-GB"/>
              </w:rPr>
              <w:t>31/03/2020</w:t>
            </w:r>
          </w:p>
        </w:tc>
        <w:tc>
          <w:tcPr>
            <w:tcW w:w="1482" w:type="dxa"/>
            <w:noWrap/>
            <w:hideMark/>
          </w:tcPr>
          <w:p w14:paraId="0E259A84" w14:textId="77777777" w:rsidR="00C74952" w:rsidRPr="00005FAE" w:rsidRDefault="00C74952" w:rsidP="002F24A3">
            <w:pPr>
              <w:spacing w:after="0" w:line="240" w:lineRule="auto"/>
              <w:jc w:val="right"/>
              <w:rPr>
                <w:rFonts w:ascii="Arial" w:eastAsia="Times New Roman" w:hAnsi="Arial" w:cs="Arial"/>
                <w:sz w:val="24"/>
                <w:szCs w:val="24"/>
                <w:lang w:eastAsia="en-GB"/>
              </w:rPr>
            </w:pPr>
            <w:r w:rsidRPr="00005FAE">
              <w:rPr>
                <w:rFonts w:ascii="Arial" w:eastAsia="Times New Roman" w:hAnsi="Arial" w:cs="Arial"/>
                <w:sz w:val="24"/>
                <w:szCs w:val="24"/>
                <w:lang w:eastAsia="en-GB"/>
              </w:rPr>
              <w:t>54,957.51</w:t>
            </w:r>
          </w:p>
        </w:tc>
      </w:tr>
      <w:tr w:rsidR="00C74952" w:rsidRPr="00005FAE" w14:paraId="59B96DEE" w14:textId="77777777" w:rsidTr="00005FAE">
        <w:trPr>
          <w:trHeight w:val="240"/>
        </w:trPr>
        <w:tc>
          <w:tcPr>
            <w:tcW w:w="5042" w:type="dxa"/>
            <w:noWrap/>
            <w:hideMark/>
          </w:tcPr>
          <w:p w14:paraId="0C8C24D3" w14:textId="77777777" w:rsidR="00C74952" w:rsidRPr="00005FAE" w:rsidRDefault="00C74952" w:rsidP="002F24A3">
            <w:pPr>
              <w:spacing w:after="0" w:line="240" w:lineRule="auto"/>
              <w:rPr>
                <w:rFonts w:ascii="Arial" w:eastAsia="Times New Roman" w:hAnsi="Arial" w:cs="Arial"/>
                <w:sz w:val="24"/>
                <w:szCs w:val="24"/>
                <w:lang w:eastAsia="en-GB"/>
              </w:rPr>
            </w:pPr>
            <w:r w:rsidRPr="00005FAE">
              <w:rPr>
                <w:rFonts w:ascii="Arial" w:eastAsia="Times New Roman" w:hAnsi="Arial" w:cs="Arial"/>
                <w:sz w:val="24"/>
                <w:szCs w:val="24"/>
                <w:lang w:eastAsia="en-GB"/>
              </w:rPr>
              <w:t>E-Volt Car Chargers</w:t>
            </w:r>
          </w:p>
        </w:tc>
        <w:tc>
          <w:tcPr>
            <w:tcW w:w="1508" w:type="dxa"/>
            <w:noWrap/>
            <w:hideMark/>
          </w:tcPr>
          <w:p w14:paraId="776D78B5" w14:textId="77777777" w:rsidR="00C74952" w:rsidRPr="00005FAE" w:rsidRDefault="00C74952" w:rsidP="002F24A3">
            <w:pPr>
              <w:spacing w:after="0" w:line="240" w:lineRule="auto"/>
              <w:jc w:val="right"/>
              <w:rPr>
                <w:rFonts w:ascii="Arial" w:eastAsia="Times New Roman" w:hAnsi="Arial" w:cs="Arial"/>
                <w:sz w:val="24"/>
                <w:szCs w:val="24"/>
                <w:lang w:eastAsia="en-GB"/>
              </w:rPr>
            </w:pPr>
            <w:r w:rsidRPr="00005FAE">
              <w:rPr>
                <w:rFonts w:ascii="Arial" w:eastAsia="Times New Roman" w:hAnsi="Arial" w:cs="Arial"/>
                <w:sz w:val="24"/>
                <w:szCs w:val="24"/>
                <w:lang w:eastAsia="en-GB"/>
              </w:rPr>
              <w:t>30/09/2019</w:t>
            </w:r>
          </w:p>
        </w:tc>
        <w:tc>
          <w:tcPr>
            <w:tcW w:w="1045" w:type="dxa"/>
            <w:noWrap/>
            <w:hideMark/>
          </w:tcPr>
          <w:p w14:paraId="3DBCB196" w14:textId="77777777" w:rsidR="00C74952" w:rsidRPr="00005FAE" w:rsidRDefault="00C74952" w:rsidP="002F24A3">
            <w:pPr>
              <w:spacing w:after="0" w:line="240" w:lineRule="auto"/>
              <w:jc w:val="center"/>
              <w:rPr>
                <w:rFonts w:ascii="Arial" w:eastAsia="Times New Roman" w:hAnsi="Arial" w:cs="Arial"/>
                <w:sz w:val="24"/>
                <w:szCs w:val="24"/>
                <w:lang w:eastAsia="en-GB"/>
              </w:rPr>
            </w:pPr>
            <w:r w:rsidRPr="00005FAE">
              <w:rPr>
                <w:rFonts w:ascii="Arial" w:eastAsia="Times New Roman" w:hAnsi="Arial" w:cs="Arial"/>
                <w:sz w:val="24"/>
                <w:szCs w:val="24"/>
                <w:lang w:eastAsia="en-GB"/>
              </w:rPr>
              <w:t>0</w:t>
            </w:r>
          </w:p>
        </w:tc>
        <w:tc>
          <w:tcPr>
            <w:tcW w:w="1437" w:type="dxa"/>
            <w:noWrap/>
            <w:hideMark/>
          </w:tcPr>
          <w:p w14:paraId="0AF5AED2" w14:textId="77777777" w:rsidR="00C74952" w:rsidRPr="00005FAE" w:rsidRDefault="00C74952" w:rsidP="002F24A3">
            <w:pPr>
              <w:spacing w:after="0" w:line="240" w:lineRule="auto"/>
              <w:rPr>
                <w:rFonts w:ascii="Arial" w:eastAsia="Times New Roman" w:hAnsi="Arial" w:cs="Arial"/>
                <w:sz w:val="24"/>
                <w:szCs w:val="24"/>
                <w:lang w:eastAsia="en-GB"/>
              </w:rPr>
            </w:pPr>
            <w:r w:rsidRPr="00005FAE">
              <w:rPr>
                <w:rFonts w:ascii="Arial" w:eastAsia="Times New Roman" w:hAnsi="Arial" w:cs="Arial"/>
                <w:sz w:val="24"/>
                <w:szCs w:val="24"/>
                <w:lang w:eastAsia="en-GB"/>
              </w:rPr>
              <w:t>31/08/2019</w:t>
            </w:r>
          </w:p>
        </w:tc>
        <w:tc>
          <w:tcPr>
            <w:tcW w:w="1482" w:type="dxa"/>
            <w:noWrap/>
            <w:hideMark/>
          </w:tcPr>
          <w:p w14:paraId="0E407447" w14:textId="77777777" w:rsidR="00C74952" w:rsidRPr="00005FAE" w:rsidRDefault="00C74952" w:rsidP="002F24A3">
            <w:pPr>
              <w:spacing w:after="0" w:line="240" w:lineRule="auto"/>
              <w:jc w:val="right"/>
              <w:rPr>
                <w:rFonts w:ascii="Arial" w:eastAsia="Times New Roman" w:hAnsi="Arial" w:cs="Arial"/>
                <w:sz w:val="24"/>
                <w:szCs w:val="24"/>
                <w:lang w:eastAsia="en-GB"/>
              </w:rPr>
            </w:pPr>
            <w:r w:rsidRPr="00005FAE">
              <w:rPr>
                <w:rFonts w:ascii="Arial" w:eastAsia="Times New Roman" w:hAnsi="Arial" w:cs="Arial"/>
                <w:sz w:val="24"/>
                <w:szCs w:val="24"/>
                <w:lang w:eastAsia="en-GB"/>
              </w:rPr>
              <w:t>126,001.00</w:t>
            </w:r>
          </w:p>
        </w:tc>
      </w:tr>
      <w:tr w:rsidR="00C74952" w:rsidRPr="00005FAE" w14:paraId="1583867E" w14:textId="77777777" w:rsidTr="00005FAE">
        <w:trPr>
          <w:trHeight w:val="240"/>
        </w:trPr>
        <w:tc>
          <w:tcPr>
            <w:tcW w:w="5042" w:type="dxa"/>
            <w:noWrap/>
            <w:hideMark/>
          </w:tcPr>
          <w:p w14:paraId="39BB2EC2" w14:textId="77777777" w:rsidR="00C74952" w:rsidRPr="00005FAE" w:rsidRDefault="00C74952" w:rsidP="002F24A3">
            <w:pPr>
              <w:spacing w:after="0" w:line="240" w:lineRule="auto"/>
              <w:rPr>
                <w:rFonts w:ascii="Arial" w:eastAsia="Times New Roman" w:hAnsi="Arial" w:cs="Arial"/>
                <w:sz w:val="24"/>
                <w:szCs w:val="24"/>
                <w:lang w:eastAsia="en-GB"/>
              </w:rPr>
            </w:pPr>
            <w:r w:rsidRPr="00005FAE">
              <w:rPr>
                <w:rFonts w:ascii="Arial" w:eastAsia="Times New Roman" w:hAnsi="Arial" w:cs="Arial"/>
                <w:sz w:val="24"/>
                <w:szCs w:val="24"/>
                <w:lang w:eastAsia="en-GB"/>
              </w:rPr>
              <w:t>Provision of Temporary and Interim Staff Services</w:t>
            </w:r>
          </w:p>
        </w:tc>
        <w:tc>
          <w:tcPr>
            <w:tcW w:w="1508" w:type="dxa"/>
            <w:noWrap/>
            <w:hideMark/>
          </w:tcPr>
          <w:p w14:paraId="5CFDA683" w14:textId="77777777" w:rsidR="00C74952" w:rsidRPr="00005FAE" w:rsidRDefault="00C74952" w:rsidP="002F24A3">
            <w:pPr>
              <w:spacing w:after="0" w:line="240" w:lineRule="auto"/>
              <w:jc w:val="right"/>
              <w:rPr>
                <w:rFonts w:ascii="Arial" w:eastAsia="Times New Roman" w:hAnsi="Arial" w:cs="Arial"/>
                <w:sz w:val="24"/>
                <w:szCs w:val="24"/>
                <w:lang w:eastAsia="en-GB"/>
              </w:rPr>
            </w:pPr>
            <w:r w:rsidRPr="00005FAE">
              <w:rPr>
                <w:rFonts w:ascii="Arial" w:eastAsia="Times New Roman" w:hAnsi="Arial" w:cs="Arial"/>
                <w:sz w:val="24"/>
                <w:szCs w:val="24"/>
                <w:lang w:eastAsia="en-GB"/>
              </w:rPr>
              <w:t>12/04/2023</w:t>
            </w:r>
          </w:p>
        </w:tc>
        <w:tc>
          <w:tcPr>
            <w:tcW w:w="1045" w:type="dxa"/>
            <w:noWrap/>
            <w:hideMark/>
          </w:tcPr>
          <w:p w14:paraId="09E9C7DC" w14:textId="77777777" w:rsidR="00C74952" w:rsidRPr="00005FAE" w:rsidRDefault="00C74952" w:rsidP="002F24A3">
            <w:pPr>
              <w:spacing w:after="0" w:line="240" w:lineRule="auto"/>
              <w:jc w:val="center"/>
              <w:rPr>
                <w:rFonts w:ascii="Arial" w:eastAsia="Times New Roman" w:hAnsi="Arial" w:cs="Arial"/>
                <w:sz w:val="24"/>
                <w:szCs w:val="24"/>
                <w:lang w:eastAsia="en-GB"/>
              </w:rPr>
            </w:pPr>
            <w:r w:rsidRPr="00005FAE">
              <w:rPr>
                <w:rFonts w:ascii="Arial" w:eastAsia="Times New Roman" w:hAnsi="Arial" w:cs="Arial"/>
                <w:sz w:val="24"/>
                <w:szCs w:val="24"/>
                <w:lang w:eastAsia="en-GB"/>
              </w:rPr>
              <w:t>0</w:t>
            </w:r>
          </w:p>
        </w:tc>
        <w:tc>
          <w:tcPr>
            <w:tcW w:w="1437" w:type="dxa"/>
            <w:noWrap/>
            <w:hideMark/>
          </w:tcPr>
          <w:p w14:paraId="68A4F559" w14:textId="77777777" w:rsidR="00C74952" w:rsidRPr="00005FAE" w:rsidRDefault="00C74952" w:rsidP="002F24A3">
            <w:pPr>
              <w:spacing w:after="0" w:line="240" w:lineRule="auto"/>
              <w:rPr>
                <w:rFonts w:ascii="Arial" w:eastAsia="Times New Roman" w:hAnsi="Arial" w:cs="Arial"/>
                <w:sz w:val="24"/>
                <w:szCs w:val="24"/>
                <w:lang w:eastAsia="en-GB"/>
              </w:rPr>
            </w:pPr>
            <w:r w:rsidRPr="00005FAE">
              <w:rPr>
                <w:rFonts w:ascii="Arial" w:eastAsia="Times New Roman" w:hAnsi="Arial" w:cs="Arial"/>
                <w:sz w:val="24"/>
                <w:szCs w:val="24"/>
                <w:lang w:eastAsia="en-GB"/>
              </w:rPr>
              <w:t>12/01/2023</w:t>
            </w:r>
          </w:p>
        </w:tc>
        <w:tc>
          <w:tcPr>
            <w:tcW w:w="1482" w:type="dxa"/>
            <w:noWrap/>
            <w:hideMark/>
          </w:tcPr>
          <w:p w14:paraId="1B653A8A" w14:textId="77777777" w:rsidR="00C74952" w:rsidRPr="00005FAE" w:rsidRDefault="00C74952" w:rsidP="002F24A3">
            <w:pPr>
              <w:spacing w:after="0" w:line="240" w:lineRule="auto"/>
              <w:jc w:val="right"/>
              <w:rPr>
                <w:rFonts w:ascii="Arial" w:eastAsia="Times New Roman" w:hAnsi="Arial" w:cs="Arial"/>
                <w:sz w:val="24"/>
                <w:szCs w:val="24"/>
                <w:lang w:eastAsia="en-GB"/>
              </w:rPr>
            </w:pPr>
            <w:r w:rsidRPr="00005FAE">
              <w:rPr>
                <w:rFonts w:ascii="Arial" w:eastAsia="Times New Roman" w:hAnsi="Arial" w:cs="Arial"/>
                <w:sz w:val="24"/>
                <w:szCs w:val="24"/>
                <w:lang w:eastAsia="en-GB"/>
              </w:rPr>
              <w:t>2,800,000.00</w:t>
            </w:r>
          </w:p>
        </w:tc>
      </w:tr>
      <w:tr w:rsidR="00C74952" w:rsidRPr="00005FAE" w14:paraId="1F5D89AF" w14:textId="77777777" w:rsidTr="00005FAE">
        <w:trPr>
          <w:trHeight w:val="240"/>
        </w:trPr>
        <w:tc>
          <w:tcPr>
            <w:tcW w:w="5042" w:type="dxa"/>
            <w:noWrap/>
            <w:hideMark/>
          </w:tcPr>
          <w:p w14:paraId="71CB58C0" w14:textId="77777777" w:rsidR="00C74952" w:rsidRPr="00005FAE" w:rsidRDefault="00C74952" w:rsidP="002F24A3">
            <w:pPr>
              <w:spacing w:after="0" w:line="240" w:lineRule="auto"/>
              <w:rPr>
                <w:rFonts w:ascii="Arial" w:eastAsia="Times New Roman" w:hAnsi="Arial" w:cs="Arial"/>
                <w:sz w:val="24"/>
                <w:szCs w:val="24"/>
                <w:lang w:eastAsia="en-GB"/>
              </w:rPr>
            </w:pPr>
            <w:r w:rsidRPr="00005FAE">
              <w:rPr>
                <w:rFonts w:ascii="Arial" w:eastAsia="Times New Roman" w:hAnsi="Arial" w:cs="Arial"/>
                <w:sz w:val="24"/>
                <w:szCs w:val="24"/>
                <w:lang w:eastAsia="en-GB"/>
              </w:rPr>
              <w:t>Mind Manager Corporate License</w:t>
            </w:r>
          </w:p>
        </w:tc>
        <w:tc>
          <w:tcPr>
            <w:tcW w:w="1508" w:type="dxa"/>
            <w:noWrap/>
            <w:hideMark/>
          </w:tcPr>
          <w:p w14:paraId="2118BACF" w14:textId="77777777" w:rsidR="00C74952" w:rsidRPr="00005FAE" w:rsidRDefault="00C74952" w:rsidP="002F24A3">
            <w:pPr>
              <w:spacing w:after="0" w:line="240" w:lineRule="auto"/>
              <w:jc w:val="right"/>
              <w:rPr>
                <w:rFonts w:ascii="Arial" w:eastAsia="Times New Roman" w:hAnsi="Arial" w:cs="Arial"/>
                <w:sz w:val="24"/>
                <w:szCs w:val="24"/>
                <w:lang w:eastAsia="en-GB"/>
              </w:rPr>
            </w:pPr>
            <w:r w:rsidRPr="00005FAE">
              <w:rPr>
                <w:rFonts w:ascii="Arial" w:eastAsia="Times New Roman" w:hAnsi="Arial" w:cs="Arial"/>
                <w:sz w:val="24"/>
                <w:szCs w:val="24"/>
                <w:lang w:eastAsia="en-GB"/>
              </w:rPr>
              <w:t>30/03/2021</w:t>
            </w:r>
          </w:p>
        </w:tc>
        <w:tc>
          <w:tcPr>
            <w:tcW w:w="1045" w:type="dxa"/>
            <w:noWrap/>
            <w:hideMark/>
          </w:tcPr>
          <w:p w14:paraId="4CC350D2" w14:textId="77777777" w:rsidR="00C74952" w:rsidRPr="00005FAE" w:rsidRDefault="00C74952" w:rsidP="002F24A3">
            <w:pPr>
              <w:spacing w:after="0" w:line="240" w:lineRule="auto"/>
              <w:jc w:val="center"/>
              <w:rPr>
                <w:rFonts w:ascii="Arial" w:eastAsia="Times New Roman" w:hAnsi="Arial" w:cs="Arial"/>
                <w:sz w:val="24"/>
                <w:szCs w:val="24"/>
                <w:lang w:eastAsia="en-GB"/>
              </w:rPr>
            </w:pPr>
            <w:r w:rsidRPr="00005FAE">
              <w:rPr>
                <w:rFonts w:ascii="Arial" w:eastAsia="Times New Roman" w:hAnsi="Arial" w:cs="Arial"/>
                <w:sz w:val="24"/>
                <w:szCs w:val="24"/>
                <w:lang w:eastAsia="en-GB"/>
              </w:rPr>
              <w:t>0</w:t>
            </w:r>
          </w:p>
        </w:tc>
        <w:tc>
          <w:tcPr>
            <w:tcW w:w="1437" w:type="dxa"/>
            <w:noWrap/>
            <w:hideMark/>
          </w:tcPr>
          <w:p w14:paraId="7C0055E9" w14:textId="77777777" w:rsidR="00C74952" w:rsidRPr="00005FAE" w:rsidRDefault="00C74952" w:rsidP="002F24A3">
            <w:pPr>
              <w:spacing w:after="0" w:line="240" w:lineRule="auto"/>
              <w:rPr>
                <w:rFonts w:ascii="Arial" w:eastAsia="Times New Roman" w:hAnsi="Arial" w:cs="Arial"/>
                <w:sz w:val="24"/>
                <w:szCs w:val="24"/>
                <w:lang w:eastAsia="en-GB"/>
              </w:rPr>
            </w:pPr>
            <w:r w:rsidRPr="00005FAE">
              <w:rPr>
                <w:rFonts w:ascii="Arial" w:eastAsia="Times New Roman" w:hAnsi="Arial" w:cs="Arial"/>
                <w:sz w:val="24"/>
                <w:szCs w:val="24"/>
                <w:lang w:eastAsia="en-GB"/>
              </w:rPr>
              <w:t>29/01/2021</w:t>
            </w:r>
          </w:p>
        </w:tc>
        <w:tc>
          <w:tcPr>
            <w:tcW w:w="1482" w:type="dxa"/>
            <w:noWrap/>
            <w:hideMark/>
          </w:tcPr>
          <w:p w14:paraId="33ECD2BE" w14:textId="77777777" w:rsidR="00C74952" w:rsidRPr="00005FAE" w:rsidRDefault="00C74952" w:rsidP="002F24A3">
            <w:pPr>
              <w:spacing w:after="0" w:line="240" w:lineRule="auto"/>
              <w:jc w:val="right"/>
              <w:rPr>
                <w:rFonts w:ascii="Arial" w:eastAsia="Times New Roman" w:hAnsi="Arial" w:cs="Arial"/>
                <w:sz w:val="24"/>
                <w:szCs w:val="24"/>
                <w:lang w:eastAsia="en-GB"/>
              </w:rPr>
            </w:pPr>
            <w:r w:rsidRPr="00005FAE">
              <w:rPr>
                <w:rFonts w:ascii="Arial" w:eastAsia="Times New Roman" w:hAnsi="Arial" w:cs="Arial"/>
                <w:sz w:val="24"/>
                <w:szCs w:val="24"/>
                <w:lang w:eastAsia="en-GB"/>
              </w:rPr>
              <w:t>9,146.00</w:t>
            </w:r>
          </w:p>
        </w:tc>
      </w:tr>
      <w:tr w:rsidR="00C74952" w:rsidRPr="00005FAE" w14:paraId="517EA228" w14:textId="77777777" w:rsidTr="00005FAE">
        <w:trPr>
          <w:trHeight w:val="240"/>
        </w:trPr>
        <w:tc>
          <w:tcPr>
            <w:tcW w:w="5042" w:type="dxa"/>
            <w:noWrap/>
            <w:hideMark/>
          </w:tcPr>
          <w:p w14:paraId="6277BD10" w14:textId="77777777" w:rsidR="00C74952" w:rsidRPr="00005FAE" w:rsidRDefault="00C74952" w:rsidP="002F24A3">
            <w:pPr>
              <w:spacing w:after="0" w:line="240" w:lineRule="auto"/>
              <w:rPr>
                <w:rFonts w:ascii="Arial" w:eastAsia="Times New Roman" w:hAnsi="Arial" w:cs="Arial"/>
                <w:sz w:val="24"/>
                <w:szCs w:val="24"/>
                <w:lang w:eastAsia="en-GB"/>
              </w:rPr>
            </w:pPr>
            <w:r w:rsidRPr="00005FAE">
              <w:rPr>
                <w:rFonts w:ascii="Arial" w:eastAsia="Times New Roman" w:hAnsi="Arial" w:cs="Arial"/>
                <w:sz w:val="24"/>
                <w:szCs w:val="24"/>
                <w:lang w:eastAsia="en-GB"/>
              </w:rPr>
              <w:t>Vehicle Purchase</w:t>
            </w:r>
          </w:p>
        </w:tc>
        <w:tc>
          <w:tcPr>
            <w:tcW w:w="1508" w:type="dxa"/>
            <w:noWrap/>
            <w:hideMark/>
          </w:tcPr>
          <w:p w14:paraId="269CFB63" w14:textId="77777777" w:rsidR="00C74952" w:rsidRPr="00005FAE" w:rsidRDefault="00C74952" w:rsidP="002F24A3">
            <w:pPr>
              <w:spacing w:after="0" w:line="240" w:lineRule="auto"/>
              <w:jc w:val="right"/>
              <w:rPr>
                <w:rFonts w:ascii="Arial" w:eastAsia="Times New Roman" w:hAnsi="Arial" w:cs="Arial"/>
                <w:sz w:val="24"/>
                <w:szCs w:val="24"/>
                <w:lang w:eastAsia="en-GB"/>
              </w:rPr>
            </w:pPr>
            <w:r w:rsidRPr="00005FAE">
              <w:rPr>
                <w:rFonts w:ascii="Arial" w:eastAsia="Times New Roman" w:hAnsi="Arial" w:cs="Arial"/>
                <w:sz w:val="24"/>
                <w:szCs w:val="24"/>
                <w:lang w:eastAsia="en-GB"/>
              </w:rPr>
              <w:t>30/04/2020</w:t>
            </w:r>
          </w:p>
        </w:tc>
        <w:tc>
          <w:tcPr>
            <w:tcW w:w="1045" w:type="dxa"/>
            <w:noWrap/>
            <w:hideMark/>
          </w:tcPr>
          <w:p w14:paraId="6F64C001" w14:textId="77777777" w:rsidR="00C74952" w:rsidRPr="00005FAE" w:rsidRDefault="00C74952" w:rsidP="002F24A3">
            <w:pPr>
              <w:spacing w:after="0" w:line="240" w:lineRule="auto"/>
              <w:jc w:val="center"/>
              <w:rPr>
                <w:rFonts w:ascii="Arial" w:eastAsia="Times New Roman" w:hAnsi="Arial" w:cs="Arial"/>
                <w:sz w:val="24"/>
                <w:szCs w:val="24"/>
                <w:lang w:eastAsia="en-GB"/>
              </w:rPr>
            </w:pPr>
            <w:r w:rsidRPr="00005FAE">
              <w:rPr>
                <w:rFonts w:ascii="Arial" w:eastAsia="Times New Roman" w:hAnsi="Arial" w:cs="Arial"/>
                <w:sz w:val="24"/>
                <w:szCs w:val="24"/>
                <w:lang w:eastAsia="en-GB"/>
              </w:rPr>
              <w:t>0</w:t>
            </w:r>
          </w:p>
        </w:tc>
        <w:tc>
          <w:tcPr>
            <w:tcW w:w="1437" w:type="dxa"/>
            <w:noWrap/>
            <w:hideMark/>
          </w:tcPr>
          <w:p w14:paraId="0726EBAA" w14:textId="77777777" w:rsidR="00C74952" w:rsidRPr="00005FAE" w:rsidRDefault="00C74952" w:rsidP="002F24A3">
            <w:pPr>
              <w:spacing w:after="0" w:line="240" w:lineRule="auto"/>
              <w:rPr>
                <w:rFonts w:ascii="Arial" w:eastAsia="Times New Roman" w:hAnsi="Arial" w:cs="Arial"/>
                <w:sz w:val="24"/>
                <w:szCs w:val="24"/>
                <w:lang w:eastAsia="en-GB"/>
              </w:rPr>
            </w:pPr>
            <w:r w:rsidRPr="00005FAE">
              <w:rPr>
                <w:rFonts w:ascii="Arial" w:eastAsia="Times New Roman" w:hAnsi="Arial" w:cs="Arial"/>
                <w:sz w:val="24"/>
                <w:szCs w:val="24"/>
                <w:lang w:eastAsia="en-GB"/>
              </w:rPr>
              <w:t>31/03/2020</w:t>
            </w:r>
          </w:p>
        </w:tc>
        <w:tc>
          <w:tcPr>
            <w:tcW w:w="1482" w:type="dxa"/>
            <w:noWrap/>
            <w:hideMark/>
          </w:tcPr>
          <w:p w14:paraId="7B2B91A0" w14:textId="77777777" w:rsidR="00C74952" w:rsidRPr="00005FAE" w:rsidRDefault="00C74952" w:rsidP="002F24A3">
            <w:pPr>
              <w:spacing w:after="0" w:line="240" w:lineRule="auto"/>
              <w:jc w:val="right"/>
              <w:rPr>
                <w:rFonts w:ascii="Arial" w:eastAsia="Times New Roman" w:hAnsi="Arial" w:cs="Arial"/>
                <w:sz w:val="24"/>
                <w:szCs w:val="24"/>
                <w:lang w:eastAsia="en-GB"/>
              </w:rPr>
            </w:pPr>
            <w:r w:rsidRPr="00005FAE">
              <w:rPr>
                <w:rFonts w:ascii="Arial" w:eastAsia="Times New Roman" w:hAnsi="Arial" w:cs="Arial"/>
                <w:sz w:val="24"/>
                <w:szCs w:val="24"/>
                <w:lang w:eastAsia="en-GB"/>
              </w:rPr>
              <w:t>53,707.50</w:t>
            </w:r>
          </w:p>
        </w:tc>
      </w:tr>
      <w:tr w:rsidR="00C74952" w:rsidRPr="00005FAE" w14:paraId="0A6F570B" w14:textId="77777777" w:rsidTr="00005FAE">
        <w:trPr>
          <w:trHeight w:val="240"/>
        </w:trPr>
        <w:tc>
          <w:tcPr>
            <w:tcW w:w="5042" w:type="dxa"/>
            <w:noWrap/>
            <w:hideMark/>
          </w:tcPr>
          <w:p w14:paraId="021FBC44" w14:textId="77777777" w:rsidR="00C74952" w:rsidRPr="00005FAE" w:rsidRDefault="00C74952" w:rsidP="002F24A3">
            <w:pPr>
              <w:spacing w:after="0" w:line="240" w:lineRule="auto"/>
              <w:rPr>
                <w:rFonts w:ascii="Arial" w:eastAsia="Times New Roman" w:hAnsi="Arial" w:cs="Arial"/>
                <w:sz w:val="24"/>
                <w:szCs w:val="24"/>
                <w:lang w:eastAsia="en-GB"/>
              </w:rPr>
            </w:pPr>
            <w:r w:rsidRPr="00005FAE">
              <w:rPr>
                <w:rFonts w:ascii="Arial" w:eastAsia="Times New Roman" w:hAnsi="Arial" w:cs="Arial"/>
                <w:sz w:val="24"/>
                <w:szCs w:val="24"/>
                <w:lang w:eastAsia="en-GB"/>
              </w:rPr>
              <w:t>Legal Services Framework</w:t>
            </w:r>
          </w:p>
        </w:tc>
        <w:tc>
          <w:tcPr>
            <w:tcW w:w="1508" w:type="dxa"/>
            <w:noWrap/>
            <w:hideMark/>
          </w:tcPr>
          <w:p w14:paraId="1686271E" w14:textId="77777777" w:rsidR="00C74952" w:rsidRPr="00005FAE" w:rsidRDefault="00C74952" w:rsidP="002F24A3">
            <w:pPr>
              <w:spacing w:after="0" w:line="240" w:lineRule="auto"/>
              <w:jc w:val="right"/>
              <w:rPr>
                <w:rFonts w:ascii="Arial" w:eastAsia="Times New Roman" w:hAnsi="Arial" w:cs="Arial"/>
                <w:sz w:val="24"/>
                <w:szCs w:val="24"/>
                <w:lang w:eastAsia="en-GB"/>
              </w:rPr>
            </w:pPr>
            <w:r w:rsidRPr="00005FAE">
              <w:rPr>
                <w:rFonts w:ascii="Arial" w:eastAsia="Times New Roman" w:hAnsi="Arial" w:cs="Arial"/>
                <w:sz w:val="24"/>
                <w:szCs w:val="24"/>
                <w:lang w:eastAsia="en-GB"/>
              </w:rPr>
              <w:t>01/12/2021</w:t>
            </w:r>
          </w:p>
        </w:tc>
        <w:tc>
          <w:tcPr>
            <w:tcW w:w="1045" w:type="dxa"/>
            <w:noWrap/>
            <w:hideMark/>
          </w:tcPr>
          <w:p w14:paraId="33975609" w14:textId="77777777" w:rsidR="00C74952" w:rsidRPr="00005FAE" w:rsidRDefault="00C74952" w:rsidP="002F24A3">
            <w:pPr>
              <w:spacing w:after="0" w:line="240" w:lineRule="auto"/>
              <w:jc w:val="center"/>
              <w:rPr>
                <w:rFonts w:ascii="Arial" w:eastAsia="Times New Roman" w:hAnsi="Arial" w:cs="Arial"/>
                <w:sz w:val="24"/>
                <w:szCs w:val="24"/>
                <w:lang w:eastAsia="en-GB"/>
              </w:rPr>
            </w:pPr>
            <w:r w:rsidRPr="00005FAE">
              <w:rPr>
                <w:rFonts w:ascii="Arial" w:eastAsia="Times New Roman" w:hAnsi="Arial" w:cs="Arial"/>
                <w:sz w:val="24"/>
                <w:szCs w:val="24"/>
                <w:lang w:eastAsia="en-GB"/>
              </w:rPr>
              <w:t>24</w:t>
            </w:r>
          </w:p>
        </w:tc>
        <w:tc>
          <w:tcPr>
            <w:tcW w:w="1437" w:type="dxa"/>
            <w:noWrap/>
            <w:hideMark/>
          </w:tcPr>
          <w:p w14:paraId="4FCC6139" w14:textId="77777777" w:rsidR="00C74952" w:rsidRPr="00005FAE" w:rsidRDefault="00C74952" w:rsidP="002F24A3">
            <w:pPr>
              <w:spacing w:after="0" w:line="240" w:lineRule="auto"/>
              <w:rPr>
                <w:rFonts w:ascii="Arial" w:eastAsia="Times New Roman" w:hAnsi="Arial" w:cs="Arial"/>
                <w:sz w:val="24"/>
                <w:szCs w:val="24"/>
                <w:lang w:eastAsia="en-GB"/>
              </w:rPr>
            </w:pPr>
            <w:r w:rsidRPr="00005FAE">
              <w:rPr>
                <w:rFonts w:ascii="Arial" w:eastAsia="Times New Roman" w:hAnsi="Arial" w:cs="Arial"/>
                <w:sz w:val="24"/>
                <w:szCs w:val="24"/>
                <w:lang w:eastAsia="en-GB"/>
              </w:rPr>
              <w:t>01/11/2021</w:t>
            </w:r>
          </w:p>
        </w:tc>
        <w:tc>
          <w:tcPr>
            <w:tcW w:w="1482" w:type="dxa"/>
            <w:noWrap/>
            <w:hideMark/>
          </w:tcPr>
          <w:p w14:paraId="6EBAAC42" w14:textId="77777777" w:rsidR="00C74952" w:rsidRPr="00005FAE" w:rsidRDefault="00C74952" w:rsidP="002F24A3">
            <w:pPr>
              <w:spacing w:after="0" w:line="240" w:lineRule="auto"/>
              <w:jc w:val="right"/>
              <w:rPr>
                <w:rFonts w:ascii="Arial" w:eastAsia="Times New Roman" w:hAnsi="Arial" w:cs="Arial"/>
                <w:sz w:val="24"/>
                <w:szCs w:val="24"/>
                <w:lang w:eastAsia="en-GB"/>
              </w:rPr>
            </w:pPr>
            <w:r w:rsidRPr="00005FAE">
              <w:rPr>
                <w:rFonts w:ascii="Arial" w:eastAsia="Times New Roman" w:hAnsi="Arial" w:cs="Arial"/>
                <w:sz w:val="24"/>
                <w:szCs w:val="24"/>
                <w:lang w:eastAsia="en-GB"/>
              </w:rPr>
              <w:t>600,000.00</w:t>
            </w:r>
          </w:p>
        </w:tc>
      </w:tr>
      <w:tr w:rsidR="00C74952" w:rsidRPr="00005FAE" w14:paraId="6F417CCC" w14:textId="77777777" w:rsidTr="00005FAE">
        <w:trPr>
          <w:trHeight w:val="240"/>
        </w:trPr>
        <w:tc>
          <w:tcPr>
            <w:tcW w:w="5042" w:type="dxa"/>
            <w:noWrap/>
            <w:hideMark/>
          </w:tcPr>
          <w:p w14:paraId="6C6AE63C" w14:textId="77777777" w:rsidR="00C74952" w:rsidRPr="00005FAE" w:rsidRDefault="00C74952" w:rsidP="002F24A3">
            <w:pPr>
              <w:spacing w:after="0" w:line="240" w:lineRule="auto"/>
              <w:rPr>
                <w:rFonts w:ascii="Arial" w:eastAsia="Times New Roman" w:hAnsi="Arial" w:cs="Arial"/>
                <w:sz w:val="24"/>
                <w:szCs w:val="24"/>
                <w:lang w:eastAsia="en-GB"/>
              </w:rPr>
            </w:pPr>
            <w:r w:rsidRPr="00005FAE">
              <w:rPr>
                <w:rFonts w:ascii="Arial" w:eastAsia="Times New Roman" w:hAnsi="Arial" w:cs="Arial"/>
                <w:sz w:val="24"/>
                <w:szCs w:val="24"/>
                <w:lang w:eastAsia="en-GB"/>
              </w:rPr>
              <w:t>Offroad 4 x 4 Driver Training</w:t>
            </w:r>
          </w:p>
        </w:tc>
        <w:tc>
          <w:tcPr>
            <w:tcW w:w="1508" w:type="dxa"/>
            <w:noWrap/>
            <w:hideMark/>
          </w:tcPr>
          <w:p w14:paraId="5C0F7033" w14:textId="77777777" w:rsidR="00C74952" w:rsidRPr="00005FAE" w:rsidRDefault="00C74952" w:rsidP="002F24A3">
            <w:pPr>
              <w:spacing w:after="0" w:line="240" w:lineRule="auto"/>
              <w:jc w:val="right"/>
              <w:rPr>
                <w:rFonts w:ascii="Arial" w:eastAsia="Times New Roman" w:hAnsi="Arial" w:cs="Arial"/>
                <w:sz w:val="24"/>
                <w:szCs w:val="24"/>
                <w:lang w:eastAsia="en-GB"/>
              </w:rPr>
            </w:pPr>
            <w:r w:rsidRPr="00005FAE">
              <w:rPr>
                <w:rFonts w:ascii="Arial" w:eastAsia="Times New Roman" w:hAnsi="Arial" w:cs="Arial"/>
                <w:sz w:val="24"/>
                <w:szCs w:val="24"/>
                <w:lang w:eastAsia="en-GB"/>
              </w:rPr>
              <w:t>31/08/2022</w:t>
            </w:r>
          </w:p>
        </w:tc>
        <w:tc>
          <w:tcPr>
            <w:tcW w:w="1045" w:type="dxa"/>
            <w:noWrap/>
            <w:hideMark/>
          </w:tcPr>
          <w:p w14:paraId="57503DA7" w14:textId="77777777" w:rsidR="00C74952" w:rsidRPr="00005FAE" w:rsidRDefault="00C74952" w:rsidP="002F24A3">
            <w:pPr>
              <w:spacing w:after="0" w:line="240" w:lineRule="auto"/>
              <w:jc w:val="center"/>
              <w:rPr>
                <w:rFonts w:ascii="Arial" w:eastAsia="Times New Roman" w:hAnsi="Arial" w:cs="Arial"/>
                <w:sz w:val="24"/>
                <w:szCs w:val="24"/>
                <w:lang w:eastAsia="en-GB"/>
              </w:rPr>
            </w:pPr>
            <w:r w:rsidRPr="00005FAE">
              <w:rPr>
                <w:rFonts w:ascii="Arial" w:eastAsia="Times New Roman" w:hAnsi="Arial" w:cs="Arial"/>
                <w:sz w:val="24"/>
                <w:szCs w:val="24"/>
                <w:lang w:eastAsia="en-GB"/>
              </w:rPr>
              <w:t>12</w:t>
            </w:r>
          </w:p>
        </w:tc>
        <w:tc>
          <w:tcPr>
            <w:tcW w:w="1437" w:type="dxa"/>
            <w:noWrap/>
            <w:hideMark/>
          </w:tcPr>
          <w:p w14:paraId="3C5A0370" w14:textId="77777777" w:rsidR="00C74952" w:rsidRPr="00005FAE" w:rsidRDefault="00C74952" w:rsidP="002F24A3">
            <w:pPr>
              <w:spacing w:after="0" w:line="240" w:lineRule="auto"/>
              <w:rPr>
                <w:rFonts w:ascii="Arial" w:eastAsia="Times New Roman" w:hAnsi="Arial" w:cs="Arial"/>
                <w:sz w:val="24"/>
                <w:szCs w:val="24"/>
                <w:lang w:eastAsia="en-GB"/>
              </w:rPr>
            </w:pPr>
            <w:r w:rsidRPr="00005FAE">
              <w:rPr>
                <w:rFonts w:ascii="Arial" w:eastAsia="Times New Roman" w:hAnsi="Arial" w:cs="Arial"/>
                <w:sz w:val="24"/>
                <w:szCs w:val="24"/>
                <w:lang w:eastAsia="en-GB"/>
              </w:rPr>
              <w:t>03/05/2022</w:t>
            </w:r>
          </w:p>
        </w:tc>
        <w:tc>
          <w:tcPr>
            <w:tcW w:w="1482" w:type="dxa"/>
            <w:noWrap/>
            <w:hideMark/>
          </w:tcPr>
          <w:p w14:paraId="6442BC5F" w14:textId="77777777" w:rsidR="00C74952" w:rsidRPr="00005FAE" w:rsidRDefault="00C74952" w:rsidP="002F24A3">
            <w:pPr>
              <w:spacing w:after="0" w:line="240" w:lineRule="auto"/>
              <w:jc w:val="right"/>
              <w:rPr>
                <w:rFonts w:ascii="Arial" w:eastAsia="Times New Roman" w:hAnsi="Arial" w:cs="Arial"/>
                <w:sz w:val="24"/>
                <w:szCs w:val="24"/>
                <w:lang w:eastAsia="en-GB"/>
              </w:rPr>
            </w:pPr>
            <w:r w:rsidRPr="00005FAE">
              <w:rPr>
                <w:rFonts w:ascii="Arial" w:eastAsia="Times New Roman" w:hAnsi="Arial" w:cs="Arial"/>
                <w:sz w:val="24"/>
                <w:szCs w:val="24"/>
                <w:lang w:eastAsia="en-GB"/>
              </w:rPr>
              <w:t>32,000.00</w:t>
            </w:r>
          </w:p>
        </w:tc>
      </w:tr>
      <w:tr w:rsidR="00C74952" w:rsidRPr="00005FAE" w14:paraId="382170CC" w14:textId="77777777" w:rsidTr="00005FAE">
        <w:trPr>
          <w:trHeight w:val="240"/>
        </w:trPr>
        <w:tc>
          <w:tcPr>
            <w:tcW w:w="5042" w:type="dxa"/>
            <w:noWrap/>
            <w:hideMark/>
          </w:tcPr>
          <w:p w14:paraId="3E5D9AB7" w14:textId="77777777" w:rsidR="00C74952" w:rsidRPr="00005FAE" w:rsidRDefault="00C74952" w:rsidP="002F24A3">
            <w:pPr>
              <w:spacing w:after="0" w:line="240" w:lineRule="auto"/>
              <w:rPr>
                <w:rFonts w:ascii="Arial" w:eastAsia="Times New Roman" w:hAnsi="Arial" w:cs="Arial"/>
                <w:sz w:val="24"/>
                <w:szCs w:val="24"/>
                <w:lang w:eastAsia="en-GB"/>
              </w:rPr>
            </w:pPr>
            <w:r w:rsidRPr="00005FAE">
              <w:rPr>
                <w:rFonts w:ascii="Arial" w:eastAsia="Times New Roman" w:hAnsi="Arial" w:cs="Arial"/>
                <w:sz w:val="24"/>
                <w:szCs w:val="24"/>
                <w:lang w:eastAsia="en-GB"/>
              </w:rPr>
              <w:t>Health &amp; Safety E-Learning</w:t>
            </w:r>
          </w:p>
        </w:tc>
        <w:tc>
          <w:tcPr>
            <w:tcW w:w="1508" w:type="dxa"/>
            <w:noWrap/>
            <w:hideMark/>
          </w:tcPr>
          <w:p w14:paraId="28053B05" w14:textId="77777777" w:rsidR="00C74952" w:rsidRPr="00005FAE" w:rsidRDefault="00C74952" w:rsidP="002F24A3">
            <w:pPr>
              <w:spacing w:after="0" w:line="240" w:lineRule="auto"/>
              <w:jc w:val="right"/>
              <w:rPr>
                <w:rFonts w:ascii="Arial" w:eastAsia="Times New Roman" w:hAnsi="Arial" w:cs="Arial"/>
                <w:sz w:val="24"/>
                <w:szCs w:val="24"/>
                <w:lang w:eastAsia="en-GB"/>
              </w:rPr>
            </w:pPr>
            <w:r w:rsidRPr="00005FAE">
              <w:rPr>
                <w:rFonts w:ascii="Arial" w:eastAsia="Times New Roman" w:hAnsi="Arial" w:cs="Arial"/>
                <w:sz w:val="24"/>
                <w:szCs w:val="24"/>
                <w:lang w:eastAsia="en-GB"/>
              </w:rPr>
              <w:t>30/04/2022</w:t>
            </w:r>
          </w:p>
        </w:tc>
        <w:tc>
          <w:tcPr>
            <w:tcW w:w="1045" w:type="dxa"/>
            <w:noWrap/>
            <w:hideMark/>
          </w:tcPr>
          <w:p w14:paraId="6BB5EECE" w14:textId="77777777" w:rsidR="00C74952" w:rsidRPr="00005FAE" w:rsidRDefault="00C74952" w:rsidP="002F24A3">
            <w:pPr>
              <w:spacing w:after="0" w:line="240" w:lineRule="auto"/>
              <w:jc w:val="center"/>
              <w:rPr>
                <w:rFonts w:ascii="Arial" w:eastAsia="Times New Roman" w:hAnsi="Arial" w:cs="Arial"/>
                <w:sz w:val="24"/>
                <w:szCs w:val="24"/>
                <w:lang w:eastAsia="en-GB"/>
              </w:rPr>
            </w:pPr>
            <w:r w:rsidRPr="00005FAE">
              <w:rPr>
                <w:rFonts w:ascii="Arial" w:eastAsia="Times New Roman" w:hAnsi="Arial" w:cs="Arial"/>
                <w:sz w:val="24"/>
                <w:szCs w:val="24"/>
                <w:lang w:eastAsia="en-GB"/>
              </w:rPr>
              <w:t>24</w:t>
            </w:r>
          </w:p>
        </w:tc>
        <w:tc>
          <w:tcPr>
            <w:tcW w:w="1437" w:type="dxa"/>
            <w:noWrap/>
            <w:hideMark/>
          </w:tcPr>
          <w:p w14:paraId="3D973352" w14:textId="77777777" w:rsidR="00C74952" w:rsidRPr="00005FAE" w:rsidRDefault="00C74952" w:rsidP="002F24A3">
            <w:pPr>
              <w:spacing w:after="0" w:line="240" w:lineRule="auto"/>
              <w:rPr>
                <w:rFonts w:ascii="Arial" w:eastAsia="Times New Roman" w:hAnsi="Arial" w:cs="Arial"/>
                <w:sz w:val="24"/>
                <w:szCs w:val="24"/>
                <w:lang w:eastAsia="en-GB"/>
              </w:rPr>
            </w:pPr>
            <w:r w:rsidRPr="00005FAE">
              <w:rPr>
                <w:rFonts w:ascii="Arial" w:eastAsia="Times New Roman" w:hAnsi="Arial" w:cs="Arial"/>
                <w:sz w:val="24"/>
                <w:szCs w:val="24"/>
                <w:lang w:eastAsia="en-GB"/>
              </w:rPr>
              <w:t>30/01/2022</w:t>
            </w:r>
          </w:p>
        </w:tc>
        <w:tc>
          <w:tcPr>
            <w:tcW w:w="1482" w:type="dxa"/>
            <w:noWrap/>
            <w:hideMark/>
          </w:tcPr>
          <w:p w14:paraId="6C98AC93" w14:textId="77777777" w:rsidR="00C74952" w:rsidRPr="00005FAE" w:rsidRDefault="00C74952" w:rsidP="002F24A3">
            <w:pPr>
              <w:spacing w:after="0" w:line="240" w:lineRule="auto"/>
              <w:jc w:val="right"/>
              <w:rPr>
                <w:rFonts w:ascii="Arial" w:eastAsia="Times New Roman" w:hAnsi="Arial" w:cs="Arial"/>
                <w:sz w:val="24"/>
                <w:szCs w:val="24"/>
                <w:lang w:eastAsia="en-GB"/>
              </w:rPr>
            </w:pPr>
            <w:r w:rsidRPr="00005FAE">
              <w:rPr>
                <w:rFonts w:ascii="Arial" w:eastAsia="Times New Roman" w:hAnsi="Arial" w:cs="Arial"/>
                <w:sz w:val="24"/>
                <w:szCs w:val="24"/>
                <w:lang w:eastAsia="en-GB"/>
              </w:rPr>
              <w:t>38,500.00</w:t>
            </w:r>
          </w:p>
        </w:tc>
      </w:tr>
      <w:tr w:rsidR="00C74952" w:rsidRPr="00005FAE" w14:paraId="1ECE0C05" w14:textId="77777777" w:rsidTr="00005FAE">
        <w:trPr>
          <w:trHeight w:val="240"/>
        </w:trPr>
        <w:tc>
          <w:tcPr>
            <w:tcW w:w="5042" w:type="dxa"/>
            <w:noWrap/>
            <w:hideMark/>
          </w:tcPr>
          <w:p w14:paraId="75F12370" w14:textId="77777777" w:rsidR="00C74952" w:rsidRPr="00005FAE" w:rsidRDefault="00C74952" w:rsidP="002F24A3">
            <w:pPr>
              <w:spacing w:after="0" w:line="240" w:lineRule="auto"/>
              <w:rPr>
                <w:rFonts w:ascii="Arial" w:eastAsia="Times New Roman" w:hAnsi="Arial" w:cs="Arial"/>
                <w:sz w:val="24"/>
                <w:szCs w:val="24"/>
                <w:lang w:eastAsia="en-GB"/>
              </w:rPr>
            </w:pPr>
            <w:r w:rsidRPr="00005FAE">
              <w:rPr>
                <w:rFonts w:ascii="Arial" w:eastAsia="Times New Roman" w:hAnsi="Arial" w:cs="Arial"/>
                <w:sz w:val="24"/>
                <w:szCs w:val="24"/>
                <w:lang w:eastAsia="en-GB"/>
              </w:rPr>
              <w:t>People Survey 2020</w:t>
            </w:r>
          </w:p>
        </w:tc>
        <w:tc>
          <w:tcPr>
            <w:tcW w:w="1508" w:type="dxa"/>
            <w:noWrap/>
            <w:hideMark/>
          </w:tcPr>
          <w:p w14:paraId="3EE97E04" w14:textId="77777777" w:rsidR="00C74952" w:rsidRPr="00005FAE" w:rsidRDefault="00C74952" w:rsidP="002F24A3">
            <w:pPr>
              <w:spacing w:after="0" w:line="240" w:lineRule="auto"/>
              <w:jc w:val="right"/>
              <w:rPr>
                <w:rFonts w:ascii="Arial" w:eastAsia="Times New Roman" w:hAnsi="Arial" w:cs="Arial"/>
                <w:sz w:val="24"/>
                <w:szCs w:val="24"/>
                <w:lang w:eastAsia="en-GB"/>
              </w:rPr>
            </w:pPr>
            <w:r w:rsidRPr="00005FAE">
              <w:rPr>
                <w:rFonts w:ascii="Arial" w:eastAsia="Times New Roman" w:hAnsi="Arial" w:cs="Arial"/>
                <w:sz w:val="24"/>
                <w:szCs w:val="24"/>
                <w:lang w:eastAsia="en-GB"/>
              </w:rPr>
              <w:t>30/06/2020</w:t>
            </w:r>
          </w:p>
        </w:tc>
        <w:tc>
          <w:tcPr>
            <w:tcW w:w="1045" w:type="dxa"/>
            <w:noWrap/>
            <w:hideMark/>
          </w:tcPr>
          <w:p w14:paraId="1E9442E3" w14:textId="77777777" w:rsidR="00C74952" w:rsidRPr="00005FAE" w:rsidRDefault="00C74952" w:rsidP="002F24A3">
            <w:pPr>
              <w:spacing w:after="0" w:line="240" w:lineRule="auto"/>
              <w:jc w:val="center"/>
              <w:rPr>
                <w:rFonts w:ascii="Arial" w:eastAsia="Times New Roman" w:hAnsi="Arial" w:cs="Arial"/>
                <w:sz w:val="24"/>
                <w:szCs w:val="24"/>
                <w:lang w:eastAsia="en-GB"/>
              </w:rPr>
            </w:pPr>
            <w:r w:rsidRPr="00005FAE">
              <w:rPr>
                <w:rFonts w:ascii="Arial" w:eastAsia="Times New Roman" w:hAnsi="Arial" w:cs="Arial"/>
                <w:sz w:val="24"/>
                <w:szCs w:val="24"/>
                <w:lang w:eastAsia="en-GB"/>
              </w:rPr>
              <w:t>0</w:t>
            </w:r>
          </w:p>
        </w:tc>
        <w:tc>
          <w:tcPr>
            <w:tcW w:w="1437" w:type="dxa"/>
            <w:noWrap/>
            <w:hideMark/>
          </w:tcPr>
          <w:p w14:paraId="38D6B35D" w14:textId="77777777" w:rsidR="00C74952" w:rsidRPr="00005FAE" w:rsidRDefault="00C74952" w:rsidP="002F24A3">
            <w:pPr>
              <w:spacing w:after="0" w:line="240" w:lineRule="auto"/>
              <w:rPr>
                <w:rFonts w:ascii="Arial" w:eastAsia="Times New Roman" w:hAnsi="Arial" w:cs="Arial"/>
                <w:sz w:val="24"/>
                <w:szCs w:val="24"/>
                <w:lang w:eastAsia="en-GB"/>
              </w:rPr>
            </w:pPr>
            <w:r w:rsidRPr="00005FAE">
              <w:rPr>
                <w:rFonts w:ascii="Arial" w:eastAsia="Times New Roman" w:hAnsi="Arial" w:cs="Arial"/>
                <w:sz w:val="24"/>
                <w:szCs w:val="24"/>
                <w:lang w:eastAsia="en-GB"/>
              </w:rPr>
              <w:t>30/06/2020</w:t>
            </w:r>
          </w:p>
        </w:tc>
        <w:tc>
          <w:tcPr>
            <w:tcW w:w="1482" w:type="dxa"/>
            <w:noWrap/>
            <w:hideMark/>
          </w:tcPr>
          <w:p w14:paraId="1FABD9C5" w14:textId="77777777" w:rsidR="00C74952" w:rsidRPr="00005FAE" w:rsidRDefault="00C74952" w:rsidP="002F24A3">
            <w:pPr>
              <w:spacing w:after="0" w:line="240" w:lineRule="auto"/>
              <w:jc w:val="right"/>
              <w:rPr>
                <w:rFonts w:ascii="Arial" w:eastAsia="Times New Roman" w:hAnsi="Arial" w:cs="Arial"/>
                <w:sz w:val="24"/>
                <w:szCs w:val="24"/>
                <w:lang w:eastAsia="en-GB"/>
              </w:rPr>
            </w:pPr>
            <w:r w:rsidRPr="00005FAE">
              <w:rPr>
                <w:rFonts w:ascii="Arial" w:eastAsia="Times New Roman" w:hAnsi="Arial" w:cs="Arial"/>
                <w:sz w:val="24"/>
                <w:szCs w:val="24"/>
                <w:lang w:eastAsia="en-GB"/>
              </w:rPr>
              <w:t>9,145.00</w:t>
            </w:r>
          </w:p>
        </w:tc>
      </w:tr>
    </w:tbl>
    <w:p w14:paraId="61AFF128" w14:textId="77777777" w:rsidR="00C74952" w:rsidRPr="00070B35" w:rsidRDefault="00C74952" w:rsidP="00C74952">
      <w:pPr>
        <w:spacing w:after="0"/>
        <w:rPr>
          <w:rFonts w:ascii="Arial" w:hAnsi="Arial" w:cs="Arial"/>
          <w:b/>
          <w:color w:val="FF0000"/>
        </w:rPr>
      </w:pPr>
    </w:p>
    <w:p w14:paraId="35C38777" w14:textId="77777777" w:rsidR="00C74952" w:rsidRPr="00005FAE" w:rsidRDefault="00C74952" w:rsidP="00C74952">
      <w:pPr>
        <w:spacing w:after="0"/>
        <w:rPr>
          <w:rFonts w:ascii="Arial" w:hAnsi="Arial" w:cs="Arial"/>
          <w:b/>
          <w:sz w:val="24"/>
          <w:szCs w:val="24"/>
        </w:rPr>
      </w:pPr>
      <w:r w:rsidRPr="00005FAE">
        <w:rPr>
          <w:rFonts w:ascii="Arial" w:hAnsi="Arial" w:cs="Arial"/>
          <w:b/>
          <w:sz w:val="24"/>
          <w:szCs w:val="24"/>
        </w:rPr>
        <w:lastRenderedPageBreak/>
        <w:t>Finance</w:t>
      </w:r>
    </w:p>
    <w:p w14:paraId="2930A458" w14:textId="77777777" w:rsidR="00C74952" w:rsidRPr="00070B35" w:rsidRDefault="00C74952" w:rsidP="00C74952">
      <w:pPr>
        <w:spacing w:after="0"/>
        <w:rPr>
          <w:rFonts w:ascii="Arial" w:hAnsi="Arial" w:cs="Arial"/>
          <w:b/>
          <w:color w:val="FF0000"/>
        </w:rPr>
      </w:pPr>
    </w:p>
    <w:tbl>
      <w:tblPr>
        <w:tblStyle w:val="TableGrid"/>
        <w:tblW w:w="10519" w:type="dxa"/>
        <w:tblInd w:w="-34" w:type="dxa"/>
        <w:tblLayout w:type="fixed"/>
        <w:tblLook w:val="04A0" w:firstRow="1" w:lastRow="0" w:firstColumn="1" w:lastColumn="0" w:noHBand="0" w:noVBand="1"/>
      </w:tblPr>
      <w:tblGrid>
        <w:gridCol w:w="4849"/>
        <w:gridCol w:w="1559"/>
        <w:gridCol w:w="1134"/>
        <w:gridCol w:w="1418"/>
        <w:gridCol w:w="1559"/>
      </w:tblGrid>
      <w:tr w:rsidR="00C74952" w:rsidRPr="00005FAE" w14:paraId="27991B2F" w14:textId="77777777" w:rsidTr="00005FAE">
        <w:trPr>
          <w:trHeight w:val="552"/>
        </w:trPr>
        <w:tc>
          <w:tcPr>
            <w:tcW w:w="4849" w:type="dxa"/>
            <w:shd w:val="clear" w:color="auto" w:fill="BFBFBF" w:themeFill="background1" w:themeFillShade="BF"/>
            <w:hideMark/>
          </w:tcPr>
          <w:p w14:paraId="4A1D7BB7" w14:textId="77777777" w:rsidR="00C74952" w:rsidRPr="00005FAE" w:rsidRDefault="00C74952" w:rsidP="002F24A3">
            <w:pPr>
              <w:spacing w:after="0"/>
              <w:rPr>
                <w:rFonts w:ascii="Arial" w:hAnsi="Arial" w:cs="Arial"/>
                <w:b/>
                <w:bCs/>
                <w:sz w:val="24"/>
                <w:szCs w:val="24"/>
              </w:rPr>
            </w:pPr>
            <w:r w:rsidRPr="00005FAE">
              <w:rPr>
                <w:rFonts w:ascii="Arial" w:hAnsi="Arial" w:cs="Arial"/>
                <w:b/>
                <w:bCs/>
                <w:sz w:val="24"/>
                <w:szCs w:val="24"/>
              </w:rPr>
              <w:t>Description</w:t>
            </w:r>
          </w:p>
        </w:tc>
        <w:tc>
          <w:tcPr>
            <w:tcW w:w="1559" w:type="dxa"/>
            <w:shd w:val="clear" w:color="auto" w:fill="BFBFBF" w:themeFill="background1" w:themeFillShade="BF"/>
            <w:hideMark/>
          </w:tcPr>
          <w:p w14:paraId="681FFAB6" w14:textId="77777777" w:rsidR="00C74952" w:rsidRPr="00005FAE" w:rsidRDefault="00C74952" w:rsidP="00005FAE">
            <w:pPr>
              <w:spacing w:after="0"/>
              <w:jc w:val="center"/>
              <w:rPr>
                <w:rFonts w:ascii="Arial" w:hAnsi="Arial" w:cs="Arial"/>
                <w:b/>
                <w:bCs/>
                <w:sz w:val="24"/>
                <w:szCs w:val="24"/>
              </w:rPr>
            </w:pPr>
            <w:r w:rsidRPr="00005FAE">
              <w:rPr>
                <w:rFonts w:ascii="Arial" w:hAnsi="Arial" w:cs="Arial"/>
                <w:b/>
                <w:bCs/>
                <w:sz w:val="24"/>
                <w:szCs w:val="24"/>
              </w:rPr>
              <w:t>Date To</w:t>
            </w:r>
          </w:p>
        </w:tc>
        <w:tc>
          <w:tcPr>
            <w:tcW w:w="1134" w:type="dxa"/>
            <w:shd w:val="clear" w:color="auto" w:fill="BFBFBF" w:themeFill="background1" w:themeFillShade="BF"/>
            <w:hideMark/>
          </w:tcPr>
          <w:p w14:paraId="2DE21327" w14:textId="77777777" w:rsidR="00C74952" w:rsidRPr="00005FAE" w:rsidRDefault="00C74952" w:rsidP="002F24A3">
            <w:pPr>
              <w:spacing w:after="0"/>
              <w:jc w:val="center"/>
              <w:rPr>
                <w:rFonts w:ascii="Arial" w:hAnsi="Arial" w:cs="Arial"/>
                <w:b/>
                <w:bCs/>
                <w:sz w:val="24"/>
                <w:szCs w:val="24"/>
              </w:rPr>
            </w:pPr>
            <w:r w:rsidRPr="00005FAE">
              <w:rPr>
                <w:rFonts w:ascii="Arial" w:hAnsi="Arial" w:cs="Arial"/>
                <w:b/>
                <w:bCs/>
                <w:sz w:val="24"/>
                <w:szCs w:val="24"/>
              </w:rPr>
              <w:t>Ext</w:t>
            </w:r>
          </w:p>
          <w:p w14:paraId="55057C62" w14:textId="77777777" w:rsidR="00C74952" w:rsidRPr="00005FAE" w:rsidRDefault="00C74952" w:rsidP="002F24A3">
            <w:pPr>
              <w:spacing w:after="0"/>
              <w:jc w:val="center"/>
              <w:rPr>
                <w:rFonts w:ascii="Arial" w:hAnsi="Arial" w:cs="Arial"/>
                <w:b/>
                <w:bCs/>
                <w:sz w:val="24"/>
                <w:szCs w:val="24"/>
              </w:rPr>
            </w:pPr>
            <w:r w:rsidRPr="00005FAE">
              <w:rPr>
                <w:rFonts w:ascii="Arial" w:hAnsi="Arial" w:cs="Arial"/>
                <w:b/>
                <w:bCs/>
                <w:sz w:val="24"/>
                <w:szCs w:val="24"/>
              </w:rPr>
              <w:t>(Mths)</w:t>
            </w:r>
          </w:p>
        </w:tc>
        <w:tc>
          <w:tcPr>
            <w:tcW w:w="1418" w:type="dxa"/>
            <w:shd w:val="clear" w:color="auto" w:fill="BFBFBF" w:themeFill="background1" w:themeFillShade="BF"/>
            <w:hideMark/>
          </w:tcPr>
          <w:p w14:paraId="4E81A4CD" w14:textId="77777777" w:rsidR="00C74952" w:rsidRPr="00005FAE" w:rsidRDefault="00C74952" w:rsidP="00005FAE">
            <w:pPr>
              <w:spacing w:after="0"/>
              <w:jc w:val="center"/>
              <w:rPr>
                <w:rFonts w:ascii="Arial" w:hAnsi="Arial" w:cs="Arial"/>
                <w:b/>
                <w:bCs/>
                <w:sz w:val="24"/>
                <w:szCs w:val="24"/>
              </w:rPr>
            </w:pPr>
            <w:r w:rsidRPr="00005FAE">
              <w:rPr>
                <w:rFonts w:ascii="Arial" w:hAnsi="Arial" w:cs="Arial"/>
                <w:b/>
                <w:bCs/>
                <w:sz w:val="24"/>
                <w:szCs w:val="24"/>
              </w:rPr>
              <w:t>Review Date</w:t>
            </w:r>
          </w:p>
        </w:tc>
        <w:tc>
          <w:tcPr>
            <w:tcW w:w="1559" w:type="dxa"/>
            <w:shd w:val="clear" w:color="auto" w:fill="BFBFBF" w:themeFill="background1" w:themeFillShade="BF"/>
            <w:hideMark/>
          </w:tcPr>
          <w:p w14:paraId="1E8F20A5" w14:textId="77777777" w:rsidR="00005FAE" w:rsidRPr="00005FAE" w:rsidRDefault="00005FAE" w:rsidP="00005FAE">
            <w:pPr>
              <w:spacing w:after="0"/>
              <w:jc w:val="right"/>
              <w:rPr>
                <w:rFonts w:ascii="Arial" w:hAnsi="Arial" w:cs="Arial"/>
                <w:b/>
                <w:bCs/>
                <w:sz w:val="24"/>
                <w:szCs w:val="24"/>
              </w:rPr>
            </w:pPr>
            <w:r w:rsidRPr="00005FAE">
              <w:rPr>
                <w:rFonts w:ascii="Arial" w:hAnsi="Arial" w:cs="Arial"/>
                <w:b/>
                <w:bCs/>
                <w:sz w:val="24"/>
                <w:szCs w:val="24"/>
              </w:rPr>
              <w:t xml:space="preserve">Value </w:t>
            </w:r>
          </w:p>
          <w:p w14:paraId="5E9C2736" w14:textId="73E42551" w:rsidR="00C74952" w:rsidRPr="00005FAE" w:rsidRDefault="00005FAE" w:rsidP="00005FAE">
            <w:pPr>
              <w:spacing w:after="0"/>
              <w:jc w:val="right"/>
              <w:rPr>
                <w:rFonts w:ascii="Arial" w:hAnsi="Arial" w:cs="Arial"/>
                <w:b/>
                <w:bCs/>
                <w:sz w:val="24"/>
                <w:szCs w:val="24"/>
              </w:rPr>
            </w:pPr>
            <w:r w:rsidRPr="00005FAE">
              <w:rPr>
                <w:rFonts w:ascii="Arial" w:hAnsi="Arial" w:cs="Arial"/>
                <w:b/>
                <w:bCs/>
                <w:sz w:val="24"/>
                <w:szCs w:val="24"/>
              </w:rPr>
              <w:t>(Ex. VAT)</w:t>
            </w:r>
          </w:p>
        </w:tc>
      </w:tr>
      <w:tr w:rsidR="00C74952" w:rsidRPr="00005FAE" w14:paraId="4953DCC9" w14:textId="77777777" w:rsidTr="00005FAE">
        <w:trPr>
          <w:trHeight w:val="240"/>
        </w:trPr>
        <w:tc>
          <w:tcPr>
            <w:tcW w:w="4849" w:type="dxa"/>
            <w:noWrap/>
            <w:hideMark/>
          </w:tcPr>
          <w:p w14:paraId="37B4A860" w14:textId="77777777" w:rsidR="00C74952" w:rsidRPr="00005FAE" w:rsidRDefault="00C74952" w:rsidP="002F24A3">
            <w:pPr>
              <w:spacing w:after="0" w:line="240" w:lineRule="auto"/>
              <w:rPr>
                <w:rFonts w:ascii="Arial" w:eastAsia="Times New Roman" w:hAnsi="Arial" w:cs="Arial"/>
                <w:sz w:val="24"/>
                <w:szCs w:val="24"/>
                <w:lang w:eastAsia="en-GB"/>
              </w:rPr>
            </w:pPr>
            <w:r w:rsidRPr="00005FAE">
              <w:rPr>
                <w:rFonts w:ascii="Arial" w:eastAsia="Times New Roman" w:hAnsi="Arial" w:cs="Arial"/>
                <w:sz w:val="24"/>
                <w:szCs w:val="24"/>
                <w:lang w:eastAsia="en-GB"/>
              </w:rPr>
              <w:t>Agresso System Support 2020/2021</w:t>
            </w:r>
          </w:p>
        </w:tc>
        <w:tc>
          <w:tcPr>
            <w:tcW w:w="1559" w:type="dxa"/>
            <w:noWrap/>
            <w:hideMark/>
          </w:tcPr>
          <w:p w14:paraId="28AC3D99" w14:textId="77777777" w:rsidR="00C74952" w:rsidRPr="00005FAE" w:rsidRDefault="00C74952" w:rsidP="002F24A3">
            <w:pPr>
              <w:spacing w:after="0" w:line="240" w:lineRule="auto"/>
              <w:jc w:val="right"/>
              <w:rPr>
                <w:rFonts w:ascii="Arial" w:eastAsia="Times New Roman" w:hAnsi="Arial" w:cs="Arial"/>
                <w:sz w:val="24"/>
                <w:szCs w:val="24"/>
                <w:lang w:eastAsia="en-GB"/>
              </w:rPr>
            </w:pPr>
            <w:r w:rsidRPr="00005FAE">
              <w:rPr>
                <w:rFonts w:ascii="Arial" w:eastAsia="Times New Roman" w:hAnsi="Arial" w:cs="Arial"/>
                <w:sz w:val="24"/>
                <w:szCs w:val="24"/>
                <w:lang w:eastAsia="en-GB"/>
              </w:rPr>
              <w:t>30/04/2021</w:t>
            </w:r>
          </w:p>
        </w:tc>
        <w:tc>
          <w:tcPr>
            <w:tcW w:w="1134" w:type="dxa"/>
            <w:noWrap/>
            <w:hideMark/>
          </w:tcPr>
          <w:p w14:paraId="72C3DE6F" w14:textId="77777777" w:rsidR="00C74952" w:rsidRPr="00005FAE" w:rsidRDefault="00C74952" w:rsidP="002F24A3">
            <w:pPr>
              <w:spacing w:after="0" w:line="240" w:lineRule="auto"/>
              <w:jc w:val="center"/>
              <w:rPr>
                <w:rFonts w:ascii="Arial" w:eastAsia="Times New Roman" w:hAnsi="Arial" w:cs="Arial"/>
                <w:sz w:val="24"/>
                <w:szCs w:val="24"/>
                <w:lang w:eastAsia="en-GB"/>
              </w:rPr>
            </w:pPr>
            <w:r w:rsidRPr="00005FAE">
              <w:rPr>
                <w:rFonts w:ascii="Arial" w:eastAsia="Times New Roman" w:hAnsi="Arial" w:cs="Arial"/>
                <w:sz w:val="24"/>
                <w:szCs w:val="24"/>
                <w:lang w:eastAsia="en-GB"/>
              </w:rPr>
              <w:t>0</w:t>
            </w:r>
          </w:p>
        </w:tc>
        <w:tc>
          <w:tcPr>
            <w:tcW w:w="1418" w:type="dxa"/>
            <w:noWrap/>
            <w:hideMark/>
          </w:tcPr>
          <w:p w14:paraId="5F394FF1" w14:textId="77777777" w:rsidR="00C74952" w:rsidRPr="00005FAE" w:rsidRDefault="00C74952" w:rsidP="002F24A3">
            <w:pPr>
              <w:spacing w:after="0" w:line="240" w:lineRule="auto"/>
              <w:rPr>
                <w:rFonts w:ascii="Arial" w:eastAsia="Times New Roman" w:hAnsi="Arial" w:cs="Arial"/>
                <w:sz w:val="24"/>
                <w:szCs w:val="24"/>
                <w:lang w:eastAsia="en-GB"/>
              </w:rPr>
            </w:pPr>
            <w:r w:rsidRPr="00005FAE">
              <w:rPr>
                <w:rFonts w:ascii="Arial" w:eastAsia="Times New Roman" w:hAnsi="Arial" w:cs="Arial"/>
                <w:sz w:val="24"/>
                <w:szCs w:val="24"/>
                <w:lang w:eastAsia="en-GB"/>
              </w:rPr>
              <w:t>01/03/2021</w:t>
            </w:r>
          </w:p>
        </w:tc>
        <w:tc>
          <w:tcPr>
            <w:tcW w:w="1559" w:type="dxa"/>
            <w:noWrap/>
            <w:hideMark/>
          </w:tcPr>
          <w:p w14:paraId="34BCC810" w14:textId="77777777" w:rsidR="00C74952" w:rsidRPr="00005FAE" w:rsidRDefault="00C74952" w:rsidP="002F24A3">
            <w:pPr>
              <w:spacing w:after="0" w:line="240" w:lineRule="auto"/>
              <w:jc w:val="right"/>
              <w:rPr>
                <w:rFonts w:ascii="Arial" w:eastAsia="Times New Roman" w:hAnsi="Arial" w:cs="Arial"/>
                <w:sz w:val="24"/>
                <w:szCs w:val="24"/>
                <w:lang w:eastAsia="en-GB"/>
              </w:rPr>
            </w:pPr>
            <w:r w:rsidRPr="00005FAE">
              <w:rPr>
                <w:rFonts w:ascii="Arial" w:eastAsia="Times New Roman" w:hAnsi="Arial" w:cs="Arial"/>
                <w:sz w:val="24"/>
                <w:szCs w:val="24"/>
                <w:lang w:eastAsia="en-GB"/>
              </w:rPr>
              <w:t>40,221.25</w:t>
            </w:r>
          </w:p>
        </w:tc>
      </w:tr>
      <w:tr w:rsidR="00C74952" w:rsidRPr="00005FAE" w14:paraId="2684EB33" w14:textId="77777777" w:rsidTr="00005FAE">
        <w:trPr>
          <w:trHeight w:val="240"/>
        </w:trPr>
        <w:tc>
          <w:tcPr>
            <w:tcW w:w="4849" w:type="dxa"/>
            <w:noWrap/>
            <w:hideMark/>
          </w:tcPr>
          <w:p w14:paraId="3149F618" w14:textId="77777777" w:rsidR="00C74952" w:rsidRPr="00005FAE" w:rsidRDefault="00C74952" w:rsidP="002F24A3">
            <w:pPr>
              <w:spacing w:after="0" w:line="240" w:lineRule="auto"/>
              <w:rPr>
                <w:rFonts w:ascii="Arial" w:eastAsia="Times New Roman" w:hAnsi="Arial" w:cs="Arial"/>
                <w:sz w:val="24"/>
                <w:szCs w:val="24"/>
                <w:lang w:eastAsia="en-GB"/>
              </w:rPr>
            </w:pPr>
            <w:r w:rsidRPr="00005FAE">
              <w:rPr>
                <w:rFonts w:ascii="Arial" w:eastAsia="Times New Roman" w:hAnsi="Arial" w:cs="Arial"/>
                <w:sz w:val="24"/>
                <w:szCs w:val="24"/>
                <w:lang w:eastAsia="en-GB"/>
              </w:rPr>
              <w:t>Travel Services</w:t>
            </w:r>
          </w:p>
        </w:tc>
        <w:tc>
          <w:tcPr>
            <w:tcW w:w="1559" w:type="dxa"/>
            <w:noWrap/>
            <w:hideMark/>
          </w:tcPr>
          <w:p w14:paraId="7D72BFD8" w14:textId="77777777" w:rsidR="00C74952" w:rsidRPr="00005FAE" w:rsidRDefault="00C74952" w:rsidP="002F24A3">
            <w:pPr>
              <w:spacing w:after="0" w:line="240" w:lineRule="auto"/>
              <w:jc w:val="right"/>
              <w:rPr>
                <w:rFonts w:ascii="Arial" w:eastAsia="Times New Roman" w:hAnsi="Arial" w:cs="Arial"/>
                <w:sz w:val="24"/>
                <w:szCs w:val="24"/>
                <w:lang w:eastAsia="en-GB"/>
              </w:rPr>
            </w:pPr>
            <w:r w:rsidRPr="00005FAE">
              <w:rPr>
                <w:rFonts w:ascii="Arial" w:eastAsia="Times New Roman" w:hAnsi="Arial" w:cs="Arial"/>
                <w:sz w:val="24"/>
                <w:szCs w:val="24"/>
                <w:lang w:eastAsia="en-GB"/>
              </w:rPr>
              <w:t>31/03/2022</w:t>
            </w:r>
          </w:p>
        </w:tc>
        <w:tc>
          <w:tcPr>
            <w:tcW w:w="1134" w:type="dxa"/>
            <w:noWrap/>
            <w:hideMark/>
          </w:tcPr>
          <w:p w14:paraId="3636CC76" w14:textId="77777777" w:rsidR="00C74952" w:rsidRPr="00005FAE" w:rsidRDefault="00C74952" w:rsidP="002F24A3">
            <w:pPr>
              <w:spacing w:after="0" w:line="240" w:lineRule="auto"/>
              <w:jc w:val="center"/>
              <w:rPr>
                <w:rFonts w:ascii="Arial" w:eastAsia="Times New Roman" w:hAnsi="Arial" w:cs="Arial"/>
                <w:sz w:val="24"/>
                <w:szCs w:val="24"/>
                <w:lang w:eastAsia="en-GB"/>
              </w:rPr>
            </w:pPr>
            <w:r w:rsidRPr="00005FAE">
              <w:rPr>
                <w:rFonts w:ascii="Arial" w:eastAsia="Times New Roman" w:hAnsi="Arial" w:cs="Arial"/>
                <w:sz w:val="24"/>
                <w:szCs w:val="24"/>
                <w:lang w:eastAsia="en-GB"/>
              </w:rPr>
              <w:t>0</w:t>
            </w:r>
          </w:p>
        </w:tc>
        <w:tc>
          <w:tcPr>
            <w:tcW w:w="1418" w:type="dxa"/>
            <w:noWrap/>
            <w:hideMark/>
          </w:tcPr>
          <w:p w14:paraId="6F4EA29B" w14:textId="77777777" w:rsidR="00C74952" w:rsidRPr="00005FAE" w:rsidRDefault="00C74952" w:rsidP="002F24A3">
            <w:pPr>
              <w:spacing w:after="0" w:line="240" w:lineRule="auto"/>
              <w:rPr>
                <w:rFonts w:ascii="Arial" w:eastAsia="Times New Roman" w:hAnsi="Arial" w:cs="Arial"/>
                <w:sz w:val="24"/>
                <w:szCs w:val="24"/>
                <w:lang w:eastAsia="en-GB"/>
              </w:rPr>
            </w:pPr>
            <w:r w:rsidRPr="00005FAE">
              <w:rPr>
                <w:rFonts w:ascii="Arial" w:eastAsia="Times New Roman" w:hAnsi="Arial" w:cs="Arial"/>
                <w:sz w:val="24"/>
                <w:szCs w:val="24"/>
                <w:lang w:eastAsia="en-GB"/>
              </w:rPr>
              <w:t>01/12/2021</w:t>
            </w:r>
          </w:p>
        </w:tc>
        <w:tc>
          <w:tcPr>
            <w:tcW w:w="1559" w:type="dxa"/>
            <w:noWrap/>
            <w:hideMark/>
          </w:tcPr>
          <w:p w14:paraId="36C1090C" w14:textId="77777777" w:rsidR="00C74952" w:rsidRPr="00005FAE" w:rsidRDefault="00C74952" w:rsidP="002F24A3">
            <w:pPr>
              <w:spacing w:after="0" w:line="240" w:lineRule="auto"/>
              <w:jc w:val="right"/>
              <w:rPr>
                <w:rFonts w:ascii="Arial" w:eastAsia="Times New Roman" w:hAnsi="Arial" w:cs="Arial"/>
                <w:sz w:val="24"/>
                <w:szCs w:val="24"/>
                <w:lang w:eastAsia="en-GB"/>
              </w:rPr>
            </w:pPr>
            <w:r w:rsidRPr="00005FAE">
              <w:rPr>
                <w:rFonts w:ascii="Arial" w:eastAsia="Times New Roman" w:hAnsi="Arial" w:cs="Arial"/>
                <w:sz w:val="24"/>
                <w:szCs w:val="24"/>
                <w:lang w:eastAsia="en-GB"/>
              </w:rPr>
              <w:t>750,000.00</w:t>
            </w:r>
          </w:p>
        </w:tc>
      </w:tr>
      <w:tr w:rsidR="00C74952" w:rsidRPr="00005FAE" w14:paraId="4366703A" w14:textId="77777777" w:rsidTr="00005FAE">
        <w:trPr>
          <w:trHeight w:val="240"/>
        </w:trPr>
        <w:tc>
          <w:tcPr>
            <w:tcW w:w="4849" w:type="dxa"/>
            <w:noWrap/>
            <w:hideMark/>
          </w:tcPr>
          <w:p w14:paraId="543FD533" w14:textId="77777777" w:rsidR="00C74952" w:rsidRPr="00005FAE" w:rsidRDefault="00C74952" w:rsidP="002F24A3">
            <w:pPr>
              <w:spacing w:after="0" w:line="240" w:lineRule="auto"/>
              <w:rPr>
                <w:rFonts w:ascii="Arial" w:eastAsia="Times New Roman" w:hAnsi="Arial" w:cs="Arial"/>
                <w:sz w:val="24"/>
                <w:szCs w:val="24"/>
                <w:lang w:eastAsia="en-GB"/>
              </w:rPr>
            </w:pPr>
            <w:r w:rsidRPr="00005FAE">
              <w:rPr>
                <w:rFonts w:ascii="Arial" w:eastAsia="Times New Roman" w:hAnsi="Arial" w:cs="Arial"/>
                <w:sz w:val="24"/>
                <w:szCs w:val="24"/>
                <w:lang w:eastAsia="en-GB"/>
              </w:rPr>
              <w:t>Sourcing &amp; Booking of Meeting Rooms and Conference Venues</w:t>
            </w:r>
          </w:p>
        </w:tc>
        <w:tc>
          <w:tcPr>
            <w:tcW w:w="1559" w:type="dxa"/>
            <w:noWrap/>
            <w:hideMark/>
          </w:tcPr>
          <w:p w14:paraId="2FE2DEEB" w14:textId="77777777" w:rsidR="00C74952" w:rsidRPr="00005FAE" w:rsidRDefault="00C74952" w:rsidP="002F24A3">
            <w:pPr>
              <w:spacing w:after="0" w:line="240" w:lineRule="auto"/>
              <w:jc w:val="right"/>
              <w:rPr>
                <w:rFonts w:ascii="Arial" w:eastAsia="Times New Roman" w:hAnsi="Arial" w:cs="Arial"/>
                <w:sz w:val="24"/>
                <w:szCs w:val="24"/>
                <w:lang w:eastAsia="en-GB"/>
              </w:rPr>
            </w:pPr>
            <w:r w:rsidRPr="00005FAE">
              <w:rPr>
                <w:rFonts w:ascii="Arial" w:eastAsia="Times New Roman" w:hAnsi="Arial" w:cs="Arial"/>
                <w:sz w:val="24"/>
                <w:szCs w:val="24"/>
                <w:lang w:eastAsia="en-GB"/>
              </w:rPr>
              <w:t>31/08/2023</w:t>
            </w:r>
          </w:p>
        </w:tc>
        <w:tc>
          <w:tcPr>
            <w:tcW w:w="1134" w:type="dxa"/>
            <w:noWrap/>
            <w:hideMark/>
          </w:tcPr>
          <w:p w14:paraId="2D8EAB99" w14:textId="77777777" w:rsidR="00C74952" w:rsidRPr="00005FAE" w:rsidRDefault="00C74952" w:rsidP="002F24A3">
            <w:pPr>
              <w:spacing w:after="0" w:line="240" w:lineRule="auto"/>
              <w:jc w:val="center"/>
              <w:rPr>
                <w:rFonts w:ascii="Arial" w:eastAsia="Times New Roman" w:hAnsi="Arial" w:cs="Arial"/>
                <w:sz w:val="24"/>
                <w:szCs w:val="24"/>
                <w:lang w:eastAsia="en-GB"/>
              </w:rPr>
            </w:pPr>
            <w:r w:rsidRPr="00005FAE">
              <w:rPr>
                <w:rFonts w:ascii="Arial" w:eastAsia="Times New Roman" w:hAnsi="Arial" w:cs="Arial"/>
                <w:sz w:val="24"/>
                <w:szCs w:val="24"/>
                <w:lang w:eastAsia="en-GB"/>
              </w:rPr>
              <w:t>0</w:t>
            </w:r>
          </w:p>
        </w:tc>
        <w:tc>
          <w:tcPr>
            <w:tcW w:w="1418" w:type="dxa"/>
            <w:noWrap/>
            <w:hideMark/>
          </w:tcPr>
          <w:p w14:paraId="5559D855" w14:textId="77777777" w:rsidR="00C74952" w:rsidRPr="00005FAE" w:rsidRDefault="00C74952" w:rsidP="002F24A3">
            <w:pPr>
              <w:spacing w:after="0" w:line="240" w:lineRule="auto"/>
              <w:rPr>
                <w:rFonts w:ascii="Arial" w:eastAsia="Times New Roman" w:hAnsi="Arial" w:cs="Arial"/>
                <w:sz w:val="24"/>
                <w:szCs w:val="24"/>
                <w:lang w:eastAsia="en-GB"/>
              </w:rPr>
            </w:pPr>
            <w:r w:rsidRPr="00005FAE">
              <w:rPr>
                <w:rFonts w:ascii="Arial" w:eastAsia="Times New Roman" w:hAnsi="Arial" w:cs="Arial"/>
                <w:sz w:val="24"/>
                <w:szCs w:val="24"/>
                <w:lang w:eastAsia="en-GB"/>
              </w:rPr>
              <w:t>02/06/2023</w:t>
            </w:r>
          </w:p>
        </w:tc>
        <w:tc>
          <w:tcPr>
            <w:tcW w:w="1559" w:type="dxa"/>
            <w:noWrap/>
            <w:hideMark/>
          </w:tcPr>
          <w:p w14:paraId="72CD2737" w14:textId="77777777" w:rsidR="00C74952" w:rsidRPr="00005FAE" w:rsidRDefault="00C74952" w:rsidP="002F24A3">
            <w:pPr>
              <w:spacing w:after="0" w:line="240" w:lineRule="auto"/>
              <w:jc w:val="right"/>
              <w:rPr>
                <w:rFonts w:ascii="Arial" w:eastAsia="Times New Roman" w:hAnsi="Arial" w:cs="Arial"/>
                <w:sz w:val="24"/>
                <w:szCs w:val="24"/>
                <w:lang w:eastAsia="en-GB"/>
              </w:rPr>
            </w:pPr>
            <w:r w:rsidRPr="00005FAE">
              <w:rPr>
                <w:rFonts w:ascii="Arial" w:eastAsia="Times New Roman" w:hAnsi="Arial" w:cs="Arial"/>
                <w:sz w:val="24"/>
                <w:szCs w:val="24"/>
                <w:lang w:eastAsia="en-GB"/>
              </w:rPr>
              <w:t>190,000.00</w:t>
            </w:r>
          </w:p>
        </w:tc>
      </w:tr>
      <w:tr w:rsidR="00C74952" w:rsidRPr="00005FAE" w14:paraId="09B94F57" w14:textId="77777777" w:rsidTr="00005FAE">
        <w:trPr>
          <w:trHeight w:val="240"/>
        </w:trPr>
        <w:tc>
          <w:tcPr>
            <w:tcW w:w="4849" w:type="dxa"/>
            <w:noWrap/>
            <w:hideMark/>
          </w:tcPr>
          <w:p w14:paraId="4BEC35AA" w14:textId="77777777" w:rsidR="00C74952" w:rsidRPr="00005FAE" w:rsidRDefault="00C74952" w:rsidP="002F24A3">
            <w:pPr>
              <w:spacing w:after="0" w:line="240" w:lineRule="auto"/>
              <w:rPr>
                <w:rFonts w:ascii="Arial" w:eastAsia="Times New Roman" w:hAnsi="Arial" w:cs="Arial"/>
                <w:sz w:val="24"/>
                <w:szCs w:val="24"/>
                <w:lang w:eastAsia="en-GB"/>
              </w:rPr>
            </w:pPr>
            <w:r w:rsidRPr="00005FAE">
              <w:rPr>
                <w:rFonts w:ascii="Arial" w:eastAsia="Times New Roman" w:hAnsi="Arial" w:cs="Arial"/>
                <w:sz w:val="24"/>
                <w:szCs w:val="24"/>
                <w:lang w:eastAsia="en-GB"/>
              </w:rPr>
              <w:t>360 Control licence and Support &amp; Maintenance</w:t>
            </w:r>
          </w:p>
        </w:tc>
        <w:tc>
          <w:tcPr>
            <w:tcW w:w="1559" w:type="dxa"/>
            <w:noWrap/>
            <w:hideMark/>
          </w:tcPr>
          <w:p w14:paraId="3FD3975F" w14:textId="77777777" w:rsidR="00C74952" w:rsidRPr="00005FAE" w:rsidRDefault="00C74952" w:rsidP="002F24A3">
            <w:pPr>
              <w:spacing w:after="0" w:line="240" w:lineRule="auto"/>
              <w:jc w:val="right"/>
              <w:rPr>
                <w:rFonts w:ascii="Arial" w:eastAsia="Times New Roman" w:hAnsi="Arial" w:cs="Arial"/>
                <w:sz w:val="24"/>
                <w:szCs w:val="24"/>
                <w:lang w:eastAsia="en-GB"/>
              </w:rPr>
            </w:pPr>
            <w:r w:rsidRPr="00005FAE">
              <w:rPr>
                <w:rFonts w:ascii="Arial" w:eastAsia="Times New Roman" w:hAnsi="Arial" w:cs="Arial"/>
                <w:sz w:val="24"/>
                <w:szCs w:val="24"/>
                <w:lang w:eastAsia="en-GB"/>
              </w:rPr>
              <w:t>15/03/2020</w:t>
            </w:r>
          </w:p>
        </w:tc>
        <w:tc>
          <w:tcPr>
            <w:tcW w:w="1134" w:type="dxa"/>
            <w:noWrap/>
            <w:hideMark/>
          </w:tcPr>
          <w:p w14:paraId="3362DE78" w14:textId="77777777" w:rsidR="00C74952" w:rsidRPr="00005FAE" w:rsidRDefault="00C74952" w:rsidP="002F24A3">
            <w:pPr>
              <w:spacing w:after="0" w:line="240" w:lineRule="auto"/>
              <w:jc w:val="center"/>
              <w:rPr>
                <w:rFonts w:ascii="Arial" w:eastAsia="Times New Roman" w:hAnsi="Arial" w:cs="Arial"/>
                <w:sz w:val="24"/>
                <w:szCs w:val="24"/>
                <w:lang w:eastAsia="en-GB"/>
              </w:rPr>
            </w:pPr>
            <w:r w:rsidRPr="00005FAE">
              <w:rPr>
                <w:rFonts w:ascii="Arial" w:eastAsia="Times New Roman" w:hAnsi="Arial" w:cs="Arial"/>
                <w:sz w:val="24"/>
                <w:szCs w:val="24"/>
                <w:lang w:eastAsia="en-GB"/>
              </w:rPr>
              <w:t>0</w:t>
            </w:r>
          </w:p>
        </w:tc>
        <w:tc>
          <w:tcPr>
            <w:tcW w:w="1418" w:type="dxa"/>
            <w:noWrap/>
            <w:hideMark/>
          </w:tcPr>
          <w:p w14:paraId="72FD7BF4" w14:textId="77777777" w:rsidR="00C74952" w:rsidRPr="00005FAE" w:rsidRDefault="00C74952" w:rsidP="002F24A3">
            <w:pPr>
              <w:spacing w:after="0" w:line="240" w:lineRule="auto"/>
              <w:rPr>
                <w:rFonts w:ascii="Arial" w:eastAsia="Times New Roman" w:hAnsi="Arial" w:cs="Arial"/>
                <w:sz w:val="24"/>
                <w:szCs w:val="24"/>
                <w:lang w:eastAsia="en-GB"/>
              </w:rPr>
            </w:pPr>
            <w:r w:rsidRPr="00005FAE">
              <w:rPr>
                <w:rFonts w:ascii="Arial" w:eastAsia="Times New Roman" w:hAnsi="Arial" w:cs="Arial"/>
                <w:sz w:val="24"/>
                <w:szCs w:val="24"/>
                <w:lang w:eastAsia="en-GB"/>
              </w:rPr>
              <w:t>14/02/2020</w:t>
            </w:r>
          </w:p>
        </w:tc>
        <w:tc>
          <w:tcPr>
            <w:tcW w:w="1559" w:type="dxa"/>
            <w:noWrap/>
            <w:hideMark/>
          </w:tcPr>
          <w:p w14:paraId="01894218" w14:textId="77777777" w:rsidR="00C74952" w:rsidRPr="00005FAE" w:rsidRDefault="00C74952" w:rsidP="002F24A3">
            <w:pPr>
              <w:spacing w:after="0" w:line="240" w:lineRule="auto"/>
              <w:jc w:val="right"/>
              <w:rPr>
                <w:rFonts w:ascii="Arial" w:eastAsia="Times New Roman" w:hAnsi="Arial" w:cs="Arial"/>
                <w:sz w:val="24"/>
                <w:szCs w:val="24"/>
                <w:lang w:eastAsia="en-GB"/>
              </w:rPr>
            </w:pPr>
            <w:r w:rsidRPr="00005FAE">
              <w:rPr>
                <w:rFonts w:ascii="Arial" w:eastAsia="Times New Roman" w:hAnsi="Arial" w:cs="Arial"/>
                <w:sz w:val="24"/>
                <w:szCs w:val="24"/>
                <w:lang w:eastAsia="en-GB"/>
              </w:rPr>
              <w:t>6,250.00</w:t>
            </w:r>
          </w:p>
        </w:tc>
      </w:tr>
      <w:tr w:rsidR="00C74952" w:rsidRPr="00005FAE" w14:paraId="19423927" w14:textId="77777777" w:rsidTr="00005FAE">
        <w:trPr>
          <w:trHeight w:val="240"/>
        </w:trPr>
        <w:tc>
          <w:tcPr>
            <w:tcW w:w="4849" w:type="dxa"/>
            <w:noWrap/>
            <w:hideMark/>
          </w:tcPr>
          <w:p w14:paraId="25256E10" w14:textId="77777777" w:rsidR="00C74952" w:rsidRPr="00005FAE" w:rsidRDefault="00C74952" w:rsidP="002F24A3">
            <w:pPr>
              <w:spacing w:after="0" w:line="240" w:lineRule="auto"/>
              <w:rPr>
                <w:rFonts w:ascii="Arial" w:eastAsia="Times New Roman" w:hAnsi="Arial" w:cs="Arial"/>
                <w:sz w:val="24"/>
                <w:szCs w:val="24"/>
                <w:lang w:eastAsia="en-GB"/>
              </w:rPr>
            </w:pPr>
            <w:r w:rsidRPr="00005FAE">
              <w:rPr>
                <w:rFonts w:ascii="Arial" w:eastAsia="Times New Roman" w:hAnsi="Arial" w:cs="Arial"/>
                <w:sz w:val="24"/>
                <w:szCs w:val="24"/>
                <w:lang w:eastAsia="en-GB"/>
              </w:rPr>
              <w:t>360 Control Licence, Support and Maintenance</w:t>
            </w:r>
          </w:p>
        </w:tc>
        <w:tc>
          <w:tcPr>
            <w:tcW w:w="1559" w:type="dxa"/>
            <w:noWrap/>
            <w:hideMark/>
          </w:tcPr>
          <w:p w14:paraId="27FC164C" w14:textId="77777777" w:rsidR="00C74952" w:rsidRPr="00005FAE" w:rsidRDefault="00C74952" w:rsidP="002F24A3">
            <w:pPr>
              <w:spacing w:after="0" w:line="240" w:lineRule="auto"/>
              <w:jc w:val="right"/>
              <w:rPr>
                <w:rFonts w:ascii="Arial" w:eastAsia="Times New Roman" w:hAnsi="Arial" w:cs="Arial"/>
                <w:sz w:val="24"/>
                <w:szCs w:val="24"/>
                <w:lang w:eastAsia="en-GB"/>
              </w:rPr>
            </w:pPr>
            <w:r w:rsidRPr="00005FAE">
              <w:rPr>
                <w:rFonts w:ascii="Arial" w:eastAsia="Times New Roman" w:hAnsi="Arial" w:cs="Arial"/>
                <w:sz w:val="24"/>
                <w:szCs w:val="24"/>
                <w:lang w:eastAsia="en-GB"/>
              </w:rPr>
              <w:t>16/03/2021</w:t>
            </w:r>
          </w:p>
        </w:tc>
        <w:tc>
          <w:tcPr>
            <w:tcW w:w="1134" w:type="dxa"/>
            <w:noWrap/>
            <w:hideMark/>
          </w:tcPr>
          <w:p w14:paraId="0CF01F77" w14:textId="77777777" w:rsidR="00C74952" w:rsidRPr="00005FAE" w:rsidRDefault="00C74952" w:rsidP="002F24A3">
            <w:pPr>
              <w:spacing w:after="0" w:line="240" w:lineRule="auto"/>
              <w:jc w:val="center"/>
              <w:rPr>
                <w:rFonts w:ascii="Arial" w:eastAsia="Times New Roman" w:hAnsi="Arial" w:cs="Arial"/>
                <w:sz w:val="24"/>
                <w:szCs w:val="24"/>
                <w:lang w:eastAsia="en-GB"/>
              </w:rPr>
            </w:pPr>
            <w:r w:rsidRPr="00005FAE">
              <w:rPr>
                <w:rFonts w:ascii="Arial" w:eastAsia="Times New Roman" w:hAnsi="Arial" w:cs="Arial"/>
                <w:sz w:val="24"/>
                <w:szCs w:val="24"/>
                <w:lang w:eastAsia="en-GB"/>
              </w:rPr>
              <w:t>0</w:t>
            </w:r>
          </w:p>
        </w:tc>
        <w:tc>
          <w:tcPr>
            <w:tcW w:w="1418" w:type="dxa"/>
            <w:noWrap/>
            <w:hideMark/>
          </w:tcPr>
          <w:p w14:paraId="72F3DCC0" w14:textId="77777777" w:rsidR="00C74952" w:rsidRPr="00005FAE" w:rsidRDefault="00C74952" w:rsidP="002F24A3">
            <w:pPr>
              <w:spacing w:after="0" w:line="240" w:lineRule="auto"/>
              <w:rPr>
                <w:rFonts w:ascii="Arial" w:eastAsia="Times New Roman" w:hAnsi="Arial" w:cs="Arial"/>
                <w:sz w:val="24"/>
                <w:szCs w:val="24"/>
                <w:lang w:eastAsia="en-GB"/>
              </w:rPr>
            </w:pPr>
            <w:r w:rsidRPr="00005FAE">
              <w:rPr>
                <w:rFonts w:ascii="Arial" w:eastAsia="Times New Roman" w:hAnsi="Arial" w:cs="Arial"/>
                <w:sz w:val="24"/>
                <w:szCs w:val="24"/>
                <w:lang w:eastAsia="en-GB"/>
              </w:rPr>
              <w:t>14/02/2021</w:t>
            </w:r>
          </w:p>
        </w:tc>
        <w:tc>
          <w:tcPr>
            <w:tcW w:w="1559" w:type="dxa"/>
            <w:noWrap/>
            <w:hideMark/>
          </w:tcPr>
          <w:p w14:paraId="1068A302" w14:textId="77777777" w:rsidR="00C74952" w:rsidRPr="00005FAE" w:rsidRDefault="00C74952" w:rsidP="002F24A3">
            <w:pPr>
              <w:spacing w:after="0" w:line="240" w:lineRule="auto"/>
              <w:jc w:val="right"/>
              <w:rPr>
                <w:rFonts w:ascii="Arial" w:eastAsia="Times New Roman" w:hAnsi="Arial" w:cs="Arial"/>
                <w:sz w:val="24"/>
                <w:szCs w:val="24"/>
                <w:lang w:eastAsia="en-GB"/>
              </w:rPr>
            </w:pPr>
            <w:r w:rsidRPr="00005FAE">
              <w:rPr>
                <w:rFonts w:ascii="Arial" w:eastAsia="Times New Roman" w:hAnsi="Arial" w:cs="Arial"/>
                <w:sz w:val="24"/>
                <w:szCs w:val="24"/>
                <w:lang w:eastAsia="en-GB"/>
              </w:rPr>
              <w:t>6,250.00</w:t>
            </w:r>
          </w:p>
        </w:tc>
      </w:tr>
      <w:tr w:rsidR="00C74952" w:rsidRPr="00005FAE" w14:paraId="6AD10445" w14:textId="77777777" w:rsidTr="00005FAE">
        <w:trPr>
          <w:trHeight w:val="240"/>
        </w:trPr>
        <w:tc>
          <w:tcPr>
            <w:tcW w:w="4849" w:type="dxa"/>
            <w:noWrap/>
            <w:hideMark/>
          </w:tcPr>
          <w:p w14:paraId="1C975434" w14:textId="77777777" w:rsidR="00C74952" w:rsidRPr="00005FAE" w:rsidRDefault="00C74952" w:rsidP="002F24A3">
            <w:pPr>
              <w:spacing w:after="0" w:line="240" w:lineRule="auto"/>
              <w:rPr>
                <w:rFonts w:ascii="Arial" w:eastAsia="Times New Roman" w:hAnsi="Arial" w:cs="Arial"/>
                <w:sz w:val="24"/>
                <w:szCs w:val="24"/>
                <w:lang w:eastAsia="en-GB"/>
              </w:rPr>
            </w:pPr>
            <w:r w:rsidRPr="00005FAE">
              <w:rPr>
                <w:rFonts w:ascii="Arial" w:eastAsia="Times New Roman" w:hAnsi="Arial" w:cs="Arial"/>
                <w:sz w:val="24"/>
                <w:szCs w:val="24"/>
                <w:lang w:eastAsia="en-GB"/>
              </w:rPr>
              <w:t>Prodacapo Support &amp; Maintenance</w:t>
            </w:r>
          </w:p>
        </w:tc>
        <w:tc>
          <w:tcPr>
            <w:tcW w:w="1559" w:type="dxa"/>
            <w:noWrap/>
            <w:hideMark/>
          </w:tcPr>
          <w:p w14:paraId="748609DB" w14:textId="77777777" w:rsidR="00C74952" w:rsidRPr="00005FAE" w:rsidRDefault="00C74952" w:rsidP="002F24A3">
            <w:pPr>
              <w:spacing w:after="0" w:line="240" w:lineRule="auto"/>
              <w:jc w:val="right"/>
              <w:rPr>
                <w:rFonts w:ascii="Arial" w:eastAsia="Times New Roman" w:hAnsi="Arial" w:cs="Arial"/>
                <w:sz w:val="24"/>
                <w:szCs w:val="24"/>
                <w:lang w:eastAsia="en-GB"/>
              </w:rPr>
            </w:pPr>
            <w:r w:rsidRPr="00005FAE">
              <w:rPr>
                <w:rFonts w:ascii="Arial" w:eastAsia="Times New Roman" w:hAnsi="Arial" w:cs="Arial"/>
                <w:sz w:val="24"/>
                <w:szCs w:val="24"/>
                <w:lang w:eastAsia="en-GB"/>
              </w:rPr>
              <w:t>31/03/2021</w:t>
            </w:r>
          </w:p>
        </w:tc>
        <w:tc>
          <w:tcPr>
            <w:tcW w:w="1134" w:type="dxa"/>
            <w:noWrap/>
            <w:hideMark/>
          </w:tcPr>
          <w:p w14:paraId="553514E3" w14:textId="77777777" w:rsidR="00C74952" w:rsidRPr="00005FAE" w:rsidRDefault="00C74952" w:rsidP="002F24A3">
            <w:pPr>
              <w:spacing w:after="0" w:line="240" w:lineRule="auto"/>
              <w:jc w:val="center"/>
              <w:rPr>
                <w:rFonts w:ascii="Arial" w:eastAsia="Times New Roman" w:hAnsi="Arial" w:cs="Arial"/>
                <w:sz w:val="24"/>
                <w:szCs w:val="24"/>
                <w:lang w:eastAsia="en-GB"/>
              </w:rPr>
            </w:pPr>
            <w:r w:rsidRPr="00005FAE">
              <w:rPr>
                <w:rFonts w:ascii="Arial" w:eastAsia="Times New Roman" w:hAnsi="Arial" w:cs="Arial"/>
                <w:sz w:val="24"/>
                <w:szCs w:val="24"/>
                <w:lang w:eastAsia="en-GB"/>
              </w:rPr>
              <w:t>0</w:t>
            </w:r>
          </w:p>
        </w:tc>
        <w:tc>
          <w:tcPr>
            <w:tcW w:w="1418" w:type="dxa"/>
            <w:noWrap/>
            <w:hideMark/>
          </w:tcPr>
          <w:p w14:paraId="706F2BE4" w14:textId="77777777" w:rsidR="00C74952" w:rsidRPr="00005FAE" w:rsidRDefault="00C74952" w:rsidP="002F24A3">
            <w:pPr>
              <w:spacing w:after="0" w:line="240" w:lineRule="auto"/>
              <w:rPr>
                <w:rFonts w:ascii="Arial" w:eastAsia="Times New Roman" w:hAnsi="Arial" w:cs="Arial"/>
                <w:sz w:val="24"/>
                <w:szCs w:val="24"/>
                <w:lang w:eastAsia="en-GB"/>
              </w:rPr>
            </w:pPr>
            <w:r w:rsidRPr="00005FAE">
              <w:rPr>
                <w:rFonts w:ascii="Arial" w:eastAsia="Times New Roman" w:hAnsi="Arial" w:cs="Arial"/>
                <w:sz w:val="24"/>
                <w:szCs w:val="24"/>
                <w:lang w:eastAsia="en-GB"/>
              </w:rPr>
              <w:t>30/01/2021</w:t>
            </w:r>
          </w:p>
        </w:tc>
        <w:tc>
          <w:tcPr>
            <w:tcW w:w="1559" w:type="dxa"/>
            <w:noWrap/>
            <w:hideMark/>
          </w:tcPr>
          <w:p w14:paraId="73F3CB74" w14:textId="77777777" w:rsidR="00C74952" w:rsidRPr="00005FAE" w:rsidRDefault="00C74952" w:rsidP="002F24A3">
            <w:pPr>
              <w:spacing w:after="0" w:line="240" w:lineRule="auto"/>
              <w:jc w:val="right"/>
              <w:rPr>
                <w:rFonts w:ascii="Arial" w:eastAsia="Times New Roman" w:hAnsi="Arial" w:cs="Arial"/>
                <w:sz w:val="24"/>
                <w:szCs w:val="24"/>
                <w:lang w:eastAsia="en-GB"/>
              </w:rPr>
            </w:pPr>
            <w:r w:rsidRPr="00005FAE">
              <w:rPr>
                <w:rFonts w:ascii="Arial" w:eastAsia="Times New Roman" w:hAnsi="Arial" w:cs="Arial"/>
                <w:sz w:val="24"/>
                <w:szCs w:val="24"/>
                <w:lang w:eastAsia="en-GB"/>
              </w:rPr>
              <w:t>8,596.67</w:t>
            </w:r>
          </w:p>
        </w:tc>
      </w:tr>
      <w:tr w:rsidR="00C74952" w:rsidRPr="00005FAE" w14:paraId="3EEEF877" w14:textId="77777777" w:rsidTr="00005FAE">
        <w:trPr>
          <w:trHeight w:val="240"/>
        </w:trPr>
        <w:tc>
          <w:tcPr>
            <w:tcW w:w="4849" w:type="dxa"/>
            <w:noWrap/>
            <w:hideMark/>
          </w:tcPr>
          <w:p w14:paraId="6F9DB0E4" w14:textId="77777777" w:rsidR="00C74952" w:rsidRPr="00005FAE" w:rsidRDefault="00C74952" w:rsidP="002F24A3">
            <w:pPr>
              <w:spacing w:after="0" w:line="240" w:lineRule="auto"/>
              <w:rPr>
                <w:rFonts w:ascii="Arial" w:eastAsia="Times New Roman" w:hAnsi="Arial" w:cs="Arial"/>
                <w:sz w:val="24"/>
                <w:szCs w:val="24"/>
                <w:lang w:eastAsia="en-GB"/>
              </w:rPr>
            </w:pPr>
            <w:r w:rsidRPr="00005FAE">
              <w:rPr>
                <w:rFonts w:ascii="Arial" w:eastAsia="Times New Roman" w:hAnsi="Arial" w:cs="Arial"/>
                <w:sz w:val="24"/>
                <w:szCs w:val="24"/>
                <w:lang w:eastAsia="en-GB"/>
              </w:rPr>
              <w:t>Debt Recovery Service</w:t>
            </w:r>
          </w:p>
        </w:tc>
        <w:tc>
          <w:tcPr>
            <w:tcW w:w="1559" w:type="dxa"/>
            <w:noWrap/>
            <w:hideMark/>
          </w:tcPr>
          <w:p w14:paraId="0F981557" w14:textId="77777777" w:rsidR="00C74952" w:rsidRPr="00005FAE" w:rsidRDefault="00C74952" w:rsidP="002F24A3">
            <w:pPr>
              <w:spacing w:after="0" w:line="240" w:lineRule="auto"/>
              <w:jc w:val="right"/>
              <w:rPr>
                <w:rFonts w:ascii="Arial" w:eastAsia="Times New Roman" w:hAnsi="Arial" w:cs="Arial"/>
                <w:sz w:val="24"/>
                <w:szCs w:val="24"/>
                <w:lang w:eastAsia="en-GB"/>
              </w:rPr>
            </w:pPr>
            <w:r w:rsidRPr="00005FAE">
              <w:rPr>
                <w:rFonts w:ascii="Arial" w:eastAsia="Times New Roman" w:hAnsi="Arial" w:cs="Arial"/>
                <w:sz w:val="24"/>
                <w:szCs w:val="24"/>
                <w:lang w:eastAsia="en-GB"/>
              </w:rPr>
              <w:t>06/03/2023</w:t>
            </w:r>
          </w:p>
        </w:tc>
        <w:tc>
          <w:tcPr>
            <w:tcW w:w="1134" w:type="dxa"/>
            <w:noWrap/>
            <w:hideMark/>
          </w:tcPr>
          <w:p w14:paraId="58775D7B" w14:textId="77777777" w:rsidR="00C74952" w:rsidRPr="00005FAE" w:rsidRDefault="00C74952" w:rsidP="002F24A3">
            <w:pPr>
              <w:spacing w:after="0" w:line="240" w:lineRule="auto"/>
              <w:jc w:val="center"/>
              <w:rPr>
                <w:rFonts w:ascii="Arial" w:eastAsia="Times New Roman" w:hAnsi="Arial" w:cs="Arial"/>
                <w:sz w:val="24"/>
                <w:szCs w:val="24"/>
                <w:lang w:eastAsia="en-GB"/>
              </w:rPr>
            </w:pPr>
            <w:r w:rsidRPr="00005FAE">
              <w:rPr>
                <w:rFonts w:ascii="Arial" w:eastAsia="Times New Roman" w:hAnsi="Arial" w:cs="Arial"/>
                <w:sz w:val="24"/>
                <w:szCs w:val="24"/>
                <w:lang w:eastAsia="en-GB"/>
              </w:rPr>
              <w:t>24</w:t>
            </w:r>
          </w:p>
        </w:tc>
        <w:tc>
          <w:tcPr>
            <w:tcW w:w="1418" w:type="dxa"/>
            <w:noWrap/>
            <w:hideMark/>
          </w:tcPr>
          <w:p w14:paraId="764A1E55" w14:textId="77777777" w:rsidR="00C74952" w:rsidRPr="00005FAE" w:rsidRDefault="00C74952" w:rsidP="002F24A3">
            <w:pPr>
              <w:spacing w:after="0" w:line="240" w:lineRule="auto"/>
              <w:rPr>
                <w:rFonts w:ascii="Arial" w:eastAsia="Times New Roman" w:hAnsi="Arial" w:cs="Arial"/>
                <w:sz w:val="24"/>
                <w:szCs w:val="24"/>
                <w:lang w:eastAsia="en-GB"/>
              </w:rPr>
            </w:pPr>
            <w:r w:rsidRPr="00005FAE">
              <w:rPr>
                <w:rFonts w:ascii="Arial" w:eastAsia="Times New Roman" w:hAnsi="Arial" w:cs="Arial"/>
                <w:sz w:val="24"/>
                <w:szCs w:val="24"/>
                <w:lang w:eastAsia="en-GB"/>
              </w:rPr>
              <w:t>06/11/2022</w:t>
            </w:r>
          </w:p>
        </w:tc>
        <w:tc>
          <w:tcPr>
            <w:tcW w:w="1559" w:type="dxa"/>
            <w:noWrap/>
            <w:hideMark/>
          </w:tcPr>
          <w:p w14:paraId="147A9D3D" w14:textId="77777777" w:rsidR="00C74952" w:rsidRPr="00005FAE" w:rsidRDefault="00C74952" w:rsidP="002F24A3">
            <w:pPr>
              <w:spacing w:after="0" w:line="240" w:lineRule="auto"/>
              <w:jc w:val="right"/>
              <w:rPr>
                <w:rFonts w:ascii="Arial" w:eastAsia="Times New Roman" w:hAnsi="Arial" w:cs="Arial"/>
                <w:sz w:val="24"/>
                <w:szCs w:val="24"/>
                <w:lang w:eastAsia="en-GB"/>
              </w:rPr>
            </w:pPr>
            <w:r w:rsidRPr="00005FAE">
              <w:rPr>
                <w:rFonts w:ascii="Arial" w:eastAsia="Times New Roman" w:hAnsi="Arial" w:cs="Arial"/>
                <w:sz w:val="24"/>
                <w:szCs w:val="24"/>
                <w:lang w:eastAsia="en-GB"/>
              </w:rPr>
              <w:t>100,000.00</w:t>
            </w:r>
          </w:p>
        </w:tc>
      </w:tr>
      <w:tr w:rsidR="00C74952" w:rsidRPr="00005FAE" w14:paraId="676D697B" w14:textId="77777777" w:rsidTr="00005FAE">
        <w:trPr>
          <w:trHeight w:val="240"/>
        </w:trPr>
        <w:tc>
          <w:tcPr>
            <w:tcW w:w="4849" w:type="dxa"/>
            <w:noWrap/>
            <w:hideMark/>
          </w:tcPr>
          <w:p w14:paraId="70BEB5C2" w14:textId="77777777" w:rsidR="00C74952" w:rsidRPr="00005FAE" w:rsidRDefault="00C74952" w:rsidP="002F24A3">
            <w:pPr>
              <w:spacing w:after="0" w:line="240" w:lineRule="auto"/>
              <w:rPr>
                <w:rFonts w:ascii="Arial" w:eastAsia="Times New Roman" w:hAnsi="Arial" w:cs="Arial"/>
                <w:sz w:val="24"/>
                <w:szCs w:val="24"/>
                <w:lang w:eastAsia="en-GB"/>
              </w:rPr>
            </w:pPr>
            <w:r w:rsidRPr="00005FAE">
              <w:rPr>
                <w:rFonts w:ascii="Arial" w:eastAsia="Times New Roman" w:hAnsi="Arial" w:cs="Arial"/>
                <w:sz w:val="24"/>
                <w:szCs w:val="24"/>
                <w:lang w:eastAsia="en-GB"/>
              </w:rPr>
              <w:t>Audit Scotland 2019-20 Fees</w:t>
            </w:r>
          </w:p>
        </w:tc>
        <w:tc>
          <w:tcPr>
            <w:tcW w:w="1559" w:type="dxa"/>
            <w:noWrap/>
            <w:hideMark/>
          </w:tcPr>
          <w:p w14:paraId="5F4FCD15" w14:textId="77777777" w:rsidR="00C74952" w:rsidRPr="00005FAE" w:rsidRDefault="00C74952" w:rsidP="002F24A3">
            <w:pPr>
              <w:spacing w:after="0" w:line="240" w:lineRule="auto"/>
              <w:jc w:val="right"/>
              <w:rPr>
                <w:rFonts w:ascii="Arial" w:eastAsia="Times New Roman" w:hAnsi="Arial" w:cs="Arial"/>
                <w:sz w:val="24"/>
                <w:szCs w:val="24"/>
                <w:lang w:eastAsia="en-GB"/>
              </w:rPr>
            </w:pPr>
            <w:r w:rsidRPr="00005FAE">
              <w:rPr>
                <w:rFonts w:ascii="Arial" w:eastAsia="Times New Roman" w:hAnsi="Arial" w:cs="Arial"/>
                <w:sz w:val="24"/>
                <w:szCs w:val="24"/>
                <w:lang w:eastAsia="en-GB"/>
              </w:rPr>
              <w:t>31/12/2020</w:t>
            </w:r>
          </w:p>
        </w:tc>
        <w:tc>
          <w:tcPr>
            <w:tcW w:w="1134" w:type="dxa"/>
            <w:noWrap/>
            <w:hideMark/>
          </w:tcPr>
          <w:p w14:paraId="137B9757" w14:textId="77777777" w:rsidR="00C74952" w:rsidRPr="00005FAE" w:rsidRDefault="00C74952" w:rsidP="002F24A3">
            <w:pPr>
              <w:spacing w:after="0" w:line="240" w:lineRule="auto"/>
              <w:jc w:val="center"/>
              <w:rPr>
                <w:rFonts w:ascii="Arial" w:eastAsia="Times New Roman" w:hAnsi="Arial" w:cs="Arial"/>
                <w:sz w:val="24"/>
                <w:szCs w:val="24"/>
                <w:lang w:eastAsia="en-GB"/>
              </w:rPr>
            </w:pPr>
            <w:r w:rsidRPr="00005FAE">
              <w:rPr>
                <w:rFonts w:ascii="Arial" w:eastAsia="Times New Roman" w:hAnsi="Arial" w:cs="Arial"/>
                <w:sz w:val="24"/>
                <w:szCs w:val="24"/>
                <w:lang w:eastAsia="en-GB"/>
              </w:rPr>
              <w:t>0</w:t>
            </w:r>
          </w:p>
        </w:tc>
        <w:tc>
          <w:tcPr>
            <w:tcW w:w="1418" w:type="dxa"/>
            <w:noWrap/>
            <w:hideMark/>
          </w:tcPr>
          <w:p w14:paraId="0769AFFD" w14:textId="77777777" w:rsidR="00C74952" w:rsidRPr="00005FAE" w:rsidRDefault="00C74952" w:rsidP="002F24A3">
            <w:pPr>
              <w:spacing w:after="0" w:line="240" w:lineRule="auto"/>
              <w:rPr>
                <w:rFonts w:ascii="Arial" w:eastAsia="Times New Roman" w:hAnsi="Arial" w:cs="Arial"/>
                <w:sz w:val="24"/>
                <w:szCs w:val="24"/>
                <w:lang w:eastAsia="en-GB"/>
              </w:rPr>
            </w:pPr>
            <w:r w:rsidRPr="00005FAE">
              <w:rPr>
                <w:rFonts w:ascii="Arial" w:eastAsia="Times New Roman" w:hAnsi="Arial" w:cs="Arial"/>
                <w:sz w:val="24"/>
                <w:szCs w:val="24"/>
                <w:lang w:eastAsia="en-GB"/>
              </w:rPr>
              <w:t>01/11/2020</w:t>
            </w:r>
          </w:p>
        </w:tc>
        <w:tc>
          <w:tcPr>
            <w:tcW w:w="1559" w:type="dxa"/>
            <w:noWrap/>
            <w:hideMark/>
          </w:tcPr>
          <w:p w14:paraId="7C91260B" w14:textId="77777777" w:rsidR="00C74952" w:rsidRPr="00005FAE" w:rsidRDefault="00C74952" w:rsidP="002F24A3">
            <w:pPr>
              <w:spacing w:after="0" w:line="240" w:lineRule="auto"/>
              <w:jc w:val="right"/>
              <w:rPr>
                <w:rFonts w:ascii="Arial" w:eastAsia="Times New Roman" w:hAnsi="Arial" w:cs="Arial"/>
                <w:sz w:val="24"/>
                <w:szCs w:val="24"/>
                <w:lang w:eastAsia="en-GB"/>
              </w:rPr>
            </w:pPr>
            <w:r w:rsidRPr="00005FAE">
              <w:rPr>
                <w:rFonts w:ascii="Arial" w:eastAsia="Times New Roman" w:hAnsi="Arial" w:cs="Arial"/>
                <w:sz w:val="24"/>
                <w:szCs w:val="24"/>
                <w:lang w:eastAsia="en-GB"/>
              </w:rPr>
              <w:t>41,350.00</w:t>
            </w:r>
          </w:p>
        </w:tc>
      </w:tr>
    </w:tbl>
    <w:p w14:paraId="6B748CB1" w14:textId="77777777" w:rsidR="00C74952" w:rsidRPr="00070B35" w:rsidRDefault="00C74952" w:rsidP="00C74952">
      <w:pPr>
        <w:spacing w:after="0"/>
        <w:rPr>
          <w:rFonts w:ascii="Arial" w:hAnsi="Arial" w:cs="Arial"/>
          <w:b/>
          <w:color w:val="FF0000"/>
        </w:rPr>
      </w:pPr>
    </w:p>
    <w:p w14:paraId="7146498D" w14:textId="77777777" w:rsidR="00C74952" w:rsidRPr="00070B35" w:rsidRDefault="00C74952" w:rsidP="00C74952">
      <w:pPr>
        <w:spacing w:after="0"/>
        <w:rPr>
          <w:rFonts w:ascii="Arial" w:hAnsi="Arial" w:cs="Arial"/>
          <w:b/>
          <w:color w:val="FF0000"/>
        </w:rPr>
      </w:pPr>
    </w:p>
    <w:p w14:paraId="30808BC0" w14:textId="77777777" w:rsidR="00C74952" w:rsidRPr="00070B35" w:rsidRDefault="00C74952" w:rsidP="00C74952">
      <w:pPr>
        <w:spacing w:after="0"/>
        <w:rPr>
          <w:rFonts w:ascii="Arial" w:hAnsi="Arial" w:cs="Arial"/>
          <w:b/>
          <w:color w:val="FF0000"/>
        </w:rPr>
      </w:pPr>
    </w:p>
    <w:p w14:paraId="4E7E2362" w14:textId="77777777" w:rsidR="00C74952" w:rsidRPr="00070B35" w:rsidRDefault="00C74952" w:rsidP="00C74952">
      <w:pPr>
        <w:spacing w:after="0"/>
        <w:rPr>
          <w:rFonts w:ascii="Arial" w:hAnsi="Arial" w:cs="Arial"/>
          <w:b/>
          <w:color w:val="FF0000"/>
        </w:rPr>
      </w:pPr>
    </w:p>
    <w:p w14:paraId="58205040" w14:textId="77777777" w:rsidR="00C74952" w:rsidRPr="00070B35" w:rsidRDefault="00C74952" w:rsidP="00C74952">
      <w:pPr>
        <w:spacing w:after="0"/>
        <w:rPr>
          <w:rFonts w:ascii="Arial" w:hAnsi="Arial" w:cs="Arial"/>
          <w:b/>
          <w:color w:val="FF0000"/>
        </w:rPr>
      </w:pPr>
    </w:p>
    <w:p w14:paraId="6AB3856F" w14:textId="77777777" w:rsidR="00C74952" w:rsidRPr="00070B35" w:rsidRDefault="00C74952" w:rsidP="00C74952">
      <w:pPr>
        <w:spacing w:after="0"/>
        <w:rPr>
          <w:rFonts w:ascii="Arial" w:hAnsi="Arial" w:cs="Arial"/>
          <w:b/>
          <w:color w:val="FF0000"/>
        </w:rPr>
      </w:pPr>
    </w:p>
    <w:p w14:paraId="0412D988" w14:textId="77777777" w:rsidR="00C74952" w:rsidRPr="00070B35" w:rsidRDefault="00C74952" w:rsidP="00C74952">
      <w:pPr>
        <w:spacing w:after="0"/>
        <w:rPr>
          <w:rFonts w:ascii="Arial" w:hAnsi="Arial" w:cs="Arial"/>
          <w:b/>
          <w:color w:val="FF0000"/>
        </w:rPr>
      </w:pPr>
      <w:bookmarkStart w:id="2" w:name="Annex_3"/>
    </w:p>
    <w:p w14:paraId="622FE097" w14:textId="77777777" w:rsidR="00C74952" w:rsidRPr="00070B35" w:rsidRDefault="00C74952" w:rsidP="00C74952">
      <w:pPr>
        <w:spacing w:after="0"/>
        <w:rPr>
          <w:rFonts w:ascii="Arial" w:hAnsi="Arial" w:cs="Arial"/>
          <w:b/>
          <w:color w:val="FF0000"/>
        </w:rPr>
      </w:pPr>
    </w:p>
    <w:p w14:paraId="61C7E4CF" w14:textId="77777777" w:rsidR="00C74952" w:rsidRPr="00070B35" w:rsidRDefault="00C74952" w:rsidP="00C74952">
      <w:pPr>
        <w:spacing w:after="0"/>
        <w:rPr>
          <w:rFonts w:ascii="Arial" w:hAnsi="Arial" w:cs="Arial"/>
          <w:b/>
          <w:color w:val="FF0000"/>
        </w:rPr>
      </w:pPr>
    </w:p>
    <w:p w14:paraId="4CA1BEE0" w14:textId="77777777" w:rsidR="00C74952" w:rsidRPr="00070B35" w:rsidRDefault="00C74952" w:rsidP="00C74952">
      <w:pPr>
        <w:spacing w:after="0"/>
        <w:rPr>
          <w:rFonts w:ascii="Arial" w:hAnsi="Arial" w:cs="Arial"/>
          <w:b/>
          <w:color w:val="FF0000"/>
        </w:rPr>
      </w:pPr>
    </w:p>
    <w:bookmarkEnd w:id="2"/>
    <w:p w14:paraId="742483DE" w14:textId="77777777" w:rsidR="00C74952" w:rsidRPr="00070B35" w:rsidRDefault="00C74952" w:rsidP="00C74952">
      <w:pPr>
        <w:spacing w:after="0" w:line="240" w:lineRule="auto"/>
        <w:rPr>
          <w:rFonts w:ascii="Arial" w:hAnsi="Arial" w:cs="Arial"/>
          <w:b/>
          <w:color w:val="FF0000"/>
        </w:rPr>
      </w:pPr>
    </w:p>
    <w:p w14:paraId="1368EC8A" w14:textId="77777777" w:rsidR="00C74952" w:rsidRPr="006968EA" w:rsidRDefault="00C74952">
      <w:pPr>
        <w:spacing w:after="0" w:line="240" w:lineRule="auto"/>
        <w:rPr>
          <w:rFonts w:ascii="Arial" w:hAnsi="Arial" w:cs="Arial"/>
          <w:color w:val="FF0000"/>
          <w:sz w:val="20"/>
          <w:szCs w:val="20"/>
        </w:rPr>
      </w:pPr>
    </w:p>
    <w:sectPr w:rsidR="00C74952" w:rsidRPr="006968EA" w:rsidSect="0077738E">
      <w:type w:val="continuous"/>
      <w:pgSz w:w="11906" w:h="16838"/>
      <w:pgMar w:top="1440" w:right="707"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8E958" w14:textId="77777777" w:rsidR="0044785F" w:rsidRDefault="0044785F" w:rsidP="00C6750A">
      <w:pPr>
        <w:spacing w:after="0" w:line="240" w:lineRule="auto"/>
      </w:pPr>
      <w:r>
        <w:separator/>
      </w:r>
    </w:p>
  </w:endnote>
  <w:endnote w:type="continuationSeparator" w:id="0">
    <w:p w14:paraId="473A038F" w14:textId="77777777" w:rsidR="0044785F" w:rsidRDefault="0044785F" w:rsidP="00C67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4CF70" w14:textId="3A606483" w:rsidR="0044785F" w:rsidRPr="00D20A80" w:rsidRDefault="00AA6E54" w:rsidP="0044785F">
    <w:pPr>
      <w:pStyle w:val="Footer"/>
      <w:pBdr>
        <w:top w:val="single" w:sz="6" w:space="1" w:color="73AE57"/>
      </w:pBdr>
      <w:spacing w:line="720" w:lineRule="auto"/>
      <w:jc w:val="right"/>
      <w:rPr>
        <w:color w:val="00526F"/>
        <w:sz w:val="20"/>
      </w:rPr>
    </w:pPr>
    <w:sdt>
      <w:sdtPr>
        <w:rPr>
          <w:color w:val="00526F"/>
          <w:sz w:val="20"/>
        </w:rPr>
        <w:id w:val="-1607648892"/>
        <w:docPartObj>
          <w:docPartGallery w:val="Page Numbers (Bottom of Page)"/>
          <w:docPartUnique/>
        </w:docPartObj>
      </w:sdtPr>
      <w:sdtEndPr>
        <w:rPr>
          <w:noProof/>
        </w:rPr>
      </w:sdtEndPr>
      <w:sdtContent>
        <w:r w:rsidR="0044785F" w:rsidRPr="00667559">
          <w:rPr>
            <w:color w:val="00526F"/>
            <w:sz w:val="20"/>
          </w:rPr>
          <w:fldChar w:fldCharType="begin"/>
        </w:r>
        <w:r w:rsidR="0044785F" w:rsidRPr="00667559">
          <w:rPr>
            <w:color w:val="00526F"/>
            <w:sz w:val="20"/>
          </w:rPr>
          <w:instrText xml:space="preserve"> PAGE   \* MERGEFORMAT </w:instrText>
        </w:r>
        <w:r w:rsidR="0044785F" w:rsidRPr="00667559">
          <w:rPr>
            <w:color w:val="00526F"/>
            <w:sz w:val="20"/>
          </w:rPr>
          <w:fldChar w:fldCharType="separate"/>
        </w:r>
        <w:r>
          <w:rPr>
            <w:noProof/>
            <w:color w:val="00526F"/>
            <w:sz w:val="20"/>
          </w:rPr>
          <w:t>3</w:t>
        </w:r>
        <w:r w:rsidR="0044785F" w:rsidRPr="00667559">
          <w:rPr>
            <w:noProof/>
            <w:color w:val="00526F"/>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0F8D6" w14:textId="77777777" w:rsidR="0044785F" w:rsidRDefault="0044785F" w:rsidP="00C6750A">
      <w:pPr>
        <w:spacing w:after="0" w:line="240" w:lineRule="auto"/>
      </w:pPr>
      <w:r>
        <w:separator/>
      </w:r>
    </w:p>
  </w:footnote>
  <w:footnote w:type="continuationSeparator" w:id="0">
    <w:p w14:paraId="1CE4C490" w14:textId="77777777" w:rsidR="0044785F" w:rsidRDefault="0044785F" w:rsidP="00C6750A">
      <w:pPr>
        <w:spacing w:after="0" w:line="240" w:lineRule="auto"/>
      </w:pPr>
      <w:r>
        <w:continuationSeparator/>
      </w:r>
    </w:p>
  </w:footnote>
  <w:footnote w:id="1">
    <w:p w14:paraId="5502E4C0" w14:textId="77777777" w:rsidR="0044785F" w:rsidRPr="0058560D" w:rsidRDefault="0044785F" w:rsidP="00C74952">
      <w:pPr>
        <w:pStyle w:val="FootnoteText"/>
        <w:ind w:left="142" w:hanging="142"/>
        <w:jc w:val="both"/>
        <w:rPr>
          <w:rFonts w:ascii="Arial" w:hAnsi="Arial" w:cs="Arial"/>
          <w:sz w:val="18"/>
          <w:szCs w:val="18"/>
        </w:rPr>
      </w:pPr>
      <w:r w:rsidRPr="0058560D">
        <w:rPr>
          <w:rStyle w:val="FootnoteReference"/>
          <w:rFonts w:ascii="Arial" w:hAnsi="Arial" w:cs="Arial"/>
          <w:sz w:val="18"/>
          <w:szCs w:val="18"/>
        </w:rPr>
        <w:footnoteRef/>
      </w:r>
      <w:r w:rsidRPr="0058560D">
        <w:rPr>
          <w:rFonts w:ascii="Arial" w:hAnsi="Arial" w:cs="Arial"/>
          <w:sz w:val="18"/>
          <w:szCs w:val="18"/>
        </w:rPr>
        <w:t xml:space="preserve"> Cat A are national contracts placed by Scottish Procurement and figures reflect actual spend /savings are calculated and recorded by them.  </w:t>
      </w:r>
    </w:p>
  </w:footnote>
  <w:footnote w:id="2">
    <w:p w14:paraId="6B0E83B3" w14:textId="77777777" w:rsidR="0044785F" w:rsidRPr="0058560D" w:rsidRDefault="0044785F" w:rsidP="00C74952">
      <w:pPr>
        <w:spacing w:after="0"/>
        <w:jc w:val="both"/>
        <w:rPr>
          <w:rFonts w:ascii="Arial" w:hAnsi="Arial" w:cs="Arial"/>
          <w:sz w:val="18"/>
          <w:szCs w:val="18"/>
        </w:rPr>
      </w:pPr>
      <w:r w:rsidRPr="0058560D">
        <w:rPr>
          <w:rStyle w:val="FootnoteReference"/>
          <w:rFonts w:cs="Arial"/>
        </w:rPr>
        <w:footnoteRef/>
      </w:r>
      <w:r w:rsidRPr="0058560D">
        <w:rPr>
          <w:rFonts w:ascii="Arial" w:hAnsi="Arial" w:cs="Arial"/>
          <w:sz w:val="18"/>
          <w:szCs w:val="18"/>
        </w:rPr>
        <w:t xml:space="preserve"> Please note the cash savings quoted are not cash savings that SEPA has made in year, these are the savings calculated by Spikes Cavell for Scottish Government procurement.</w:t>
      </w:r>
    </w:p>
  </w:footnote>
  <w:footnote w:id="3">
    <w:p w14:paraId="26DF54BA" w14:textId="77777777" w:rsidR="0044785F" w:rsidRPr="0058560D" w:rsidRDefault="0044785F" w:rsidP="00C74952">
      <w:pPr>
        <w:pStyle w:val="FootnoteText"/>
        <w:ind w:left="142" w:hanging="142"/>
        <w:jc w:val="both"/>
        <w:rPr>
          <w:rFonts w:ascii="Arial" w:hAnsi="Arial" w:cs="Arial"/>
          <w:sz w:val="18"/>
          <w:szCs w:val="18"/>
        </w:rPr>
      </w:pPr>
      <w:r w:rsidRPr="0058560D">
        <w:rPr>
          <w:rStyle w:val="FootnoteReference"/>
          <w:rFonts w:ascii="Arial" w:hAnsi="Arial" w:cs="Arial"/>
          <w:sz w:val="18"/>
          <w:szCs w:val="18"/>
        </w:rPr>
        <w:footnoteRef/>
      </w:r>
      <w:r w:rsidRPr="0058560D">
        <w:rPr>
          <w:rFonts w:ascii="Arial" w:hAnsi="Arial" w:cs="Arial"/>
          <w:sz w:val="18"/>
          <w:szCs w:val="18"/>
        </w:rPr>
        <w:t xml:space="preserve"> Cat B are contracts put in place by Scottish Procurement for use by "central government" family and figures reflect actual spend/savings recorded by them. </w:t>
      </w:r>
    </w:p>
  </w:footnote>
  <w:footnote w:id="4">
    <w:p w14:paraId="60C23038" w14:textId="77777777" w:rsidR="0044785F" w:rsidRPr="0058560D" w:rsidRDefault="0044785F" w:rsidP="00C74952">
      <w:pPr>
        <w:pStyle w:val="FootnoteText"/>
        <w:jc w:val="both"/>
        <w:rPr>
          <w:rFonts w:ascii="Arial" w:hAnsi="Arial" w:cs="Arial"/>
          <w:sz w:val="18"/>
          <w:szCs w:val="18"/>
        </w:rPr>
      </w:pPr>
      <w:r w:rsidRPr="0058560D">
        <w:rPr>
          <w:rStyle w:val="FootnoteReference"/>
          <w:rFonts w:ascii="Arial" w:hAnsi="Arial" w:cs="Arial"/>
          <w:sz w:val="18"/>
          <w:szCs w:val="18"/>
        </w:rPr>
        <w:footnoteRef/>
      </w:r>
      <w:r w:rsidRPr="0058560D">
        <w:rPr>
          <w:rFonts w:ascii="Arial" w:hAnsi="Arial" w:cs="Arial"/>
          <w:sz w:val="18"/>
          <w:szCs w:val="18"/>
        </w:rPr>
        <w:t xml:space="preserve"> Cat C are local contracts put in place by SEPA Procurement and figures reflect anticipated spend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3E6BA" w14:textId="28D2ED12" w:rsidR="0044785F" w:rsidRDefault="002F5696" w:rsidP="0044785F">
    <w:pPr>
      <w:pStyle w:val="Header"/>
      <w:pBdr>
        <w:bottom w:val="single" w:sz="6" w:space="1" w:color="73AE57"/>
      </w:pBdr>
      <w:jc w:val="right"/>
      <w:rPr>
        <w:color w:val="00526F"/>
        <w:sz w:val="18"/>
        <w:szCs w:val="18"/>
      </w:rPr>
    </w:pPr>
    <w:r>
      <w:rPr>
        <w:color w:val="00526F"/>
        <w:sz w:val="18"/>
        <w:szCs w:val="18"/>
      </w:rPr>
      <w:t>Procurement Annual Report 2019 - 2020</w:t>
    </w:r>
  </w:p>
  <w:p w14:paraId="3A075E90" w14:textId="77777777" w:rsidR="0044785F" w:rsidRPr="0021101A" w:rsidRDefault="0044785F" w:rsidP="0044785F">
    <w:pPr>
      <w:pStyle w:val="Header"/>
      <w:pBdr>
        <w:bottom w:val="single" w:sz="6" w:space="1" w:color="73AE57"/>
      </w:pBdr>
      <w:jc w:val="right"/>
      <w:rPr>
        <w:color w:val="00526F"/>
        <w:sz w:val="18"/>
        <w:szCs w:val="18"/>
      </w:rPr>
    </w:pPr>
    <w:r w:rsidRPr="0021101A">
      <w:rPr>
        <w:color w:val="00526F"/>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0D16"/>
    <w:multiLevelType w:val="hybridMultilevel"/>
    <w:tmpl w:val="996E8FC4"/>
    <w:lvl w:ilvl="0" w:tplc="C0866994">
      <w:start w:val="1"/>
      <w:numFmt w:val="decimal"/>
      <w:lvlText w:val="2.%1 "/>
      <w:lvlJc w:val="left"/>
      <w:pPr>
        <w:ind w:left="720" w:hanging="360"/>
      </w:pPr>
      <w:rPr>
        <w:rFonts w:ascii="Arial Bold" w:hAnsi="Arial Bold" w:hint="default"/>
        <w:b/>
        <w:i w:val="0"/>
        <w:color w:val="auto"/>
        <w:sz w:val="28"/>
        <w:szCs w:val="28"/>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117AB2"/>
    <w:multiLevelType w:val="multilevel"/>
    <w:tmpl w:val="8480A91E"/>
    <w:lvl w:ilvl="0">
      <w:start w:val="4"/>
      <w:numFmt w:val="decimal"/>
      <w:lvlText w:val="%1"/>
      <w:lvlJc w:val="left"/>
      <w:pPr>
        <w:ind w:left="1069" w:hanging="360"/>
      </w:pPr>
      <w:rPr>
        <w:rFonts w:hint="default"/>
      </w:rPr>
    </w:lvl>
    <w:lvl w:ilvl="1">
      <w:start w:val="1"/>
      <w:numFmt w:val="bullet"/>
      <w:lvlText w:val=""/>
      <w:lvlJc w:val="left"/>
      <w:pPr>
        <w:ind w:left="1429" w:hanging="360"/>
      </w:pPr>
      <w:rPr>
        <w:rFonts w:ascii="Symbol" w:hAnsi="Symbol" w:hint="default"/>
        <w:color w:val="000000" w:themeColor="text1"/>
      </w:rPr>
    </w:lvl>
    <w:lvl w:ilvl="2">
      <w:start w:val="1"/>
      <w:numFmt w:val="decimal"/>
      <w:lvlText w:val="%1.%2.%3"/>
      <w:lvlJc w:val="left"/>
      <w:pPr>
        <w:ind w:left="2149" w:hanging="720"/>
      </w:pPr>
      <w:rPr>
        <w:rFonts w:hint="default"/>
      </w:rPr>
    </w:lvl>
    <w:lvl w:ilvl="3">
      <w:start w:val="1"/>
      <w:numFmt w:val="decimal"/>
      <w:lvlText w:val="%1.%2.%3.%4"/>
      <w:lvlJc w:val="left"/>
      <w:pPr>
        <w:ind w:left="2509" w:hanging="720"/>
      </w:pPr>
      <w:rPr>
        <w:rFonts w:hint="default"/>
      </w:rPr>
    </w:lvl>
    <w:lvl w:ilvl="4">
      <w:start w:val="1"/>
      <w:numFmt w:val="decimal"/>
      <w:lvlText w:val="%1.%2.%3.%4.%5"/>
      <w:lvlJc w:val="left"/>
      <w:pPr>
        <w:ind w:left="3229" w:hanging="1080"/>
      </w:pPr>
      <w:rPr>
        <w:rFonts w:hint="default"/>
      </w:rPr>
    </w:lvl>
    <w:lvl w:ilvl="5">
      <w:start w:val="1"/>
      <w:numFmt w:val="decimal"/>
      <w:lvlText w:val="%1.%2.%3.%4.%5.%6"/>
      <w:lvlJc w:val="left"/>
      <w:pPr>
        <w:ind w:left="3589" w:hanging="1080"/>
      </w:pPr>
      <w:rPr>
        <w:rFonts w:hint="default"/>
      </w:rPr>
    </w:lvl>
    <w:lvl w:ilvl="6">
      <w:start w:val="1"/>
      <w:numFmt w:val="decimal"/>
      <w:lvlText w:val="%1.%2.%3.%4.%5.%6.%7"/>
      <w:lvlJc w:val="left"/>
      <w:pPr>
        <w:ind w:left="4309" w:hanging="1440"/>
      </w:pPr>
      <w:rPr>
        <w:rFonts w:hint="default"/>
      </w:rPr>
    </w:lvl>
    <w:lvl w:ilvl="7">
      <w:start w:val="1"/>
      <w:numFmt w:val="decimal"/>
      <w:lvlText w:val="%1.%2.%3.%4.%5.%6.%7.%8"/>
      <w:lvlJc w:val="left"/>
      <w:pPr>
        <w:ind w:left="4669" w:hanging="1440"/>
      </w:pPr>
      <w:rPr>
        <w:rFonts w:hint="default"/>
      </w:rPr>
    </w:lvl>
    <w:lvl w:ilvl="8">
      <w:start w:val="1"/>
      <w:numFmt w:val="decimal"/>
      <w:lvlText w:val="%1.%2.%3.%4.%5.%6.%7.%8.%9"/>
      <w:lvlJc w:val="left"/>
      <w:pPr>
        <w:ind w:left="5389" w:hanging="1800"/>
      </w:pPr>
      <w:rPr>
        <w:rFonts w:hint="default"/>
      </w:rPr>
    </w:lvl>
  </w:abstractNum>
  <w:abstractNum w:abstractNumId="2" w15:restartNumberingAfterBreak="0">
    <w:nsid w:val="08776E17"/>
    <w:multiLevelType w:val="hybridMultilevel"/>
    <w:tmpl w:val="8BF0FEEA"/>
    <w:lvl w:ilvl="0" w:tplc="442A82D2">
      <w:start w:val="1"/>
      <w:numFmt w:val="decimal"/>
      <w:lvlText w:val="1.%1 "/>
      <w:lvlJc w:val="left"/>
      <w:pPr>
        <w:ind w:left="720" w:hanging="360"/>
      </w:pPr>
      <w:rPr>
        <w:rFonts w:ascii="Arial" w:hAnsi="Arial" w:hint="default"/>
        <w:b w:val="0"/>
        <w:i w:val="0"/>
        <w:sz w:val="22"/>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964137"/>
    <w:multiLevelType w:val="multilevel"/>
    <w:tmpl w:val="5F606EC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653A76"/>
    <w:multiLevelType w:val="hybridMultilevel"/>
    <w:tmpl w:val="3A80AA5C"/>
    <w:lvl w:ilvl="0" w:tplc="C73AB458">
      <w:start w:val="1"/>
      <w:numFmt w:val="decimal"/>
      <w:lvlText w:val="5.%1 "/>
      <w:lvlJc w:val="left"/>
      <w:pPr>
        <w:ind w:left="720" w:hanging="360"/>
      </w:pPr>
      <w:rPr>
        <w:rFonts w:ascii="Arial" w:hAnsi="Arial" w:hint="default"/>
        <w:b w:val="0"/>
        <w:i w:val="0"/>
        <w:sz w:val="22"/>
        <w:szCs w:val="2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FF3638"/>
    <w:multiLevelType w:val="hybridMultilevel"/>
    <w:tmpl w:val="838C1630"/>
    <w:lvl w:ilvl="0" w:tplc="2D58E3A8">
      <w:start w:val="1"/>
      <w:numFmt w:val="decimal"/>
      <w:lvlText w:val="6.%1 "/>
      <w:lvlJc w:val="left"/>
      <w:pPr>
        <w:ind w:left="720" w:hanging="360"/>
      </w:pPr>
      <w:rPr>
        <w:rFonts w:ascii="Arial" w:hAnsi="Arial" w:hint="default"/>
        <w:b w:val="0"/>
        <w:i w:val="0"/>
        <w:sz w:val="22"/>
        <w:szCs w:val="2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2F691C"/>
    <w:multiLevelType w:val="multilevel"/>
    <w:tmpl w:val="E14829D2"/>
    <w:lvl w:ilvl="0">
      <w:start w:val="1"/>
      <w:numFmt w:val="decimal"/>
      <w:lvlText w:val="%1."/>
      <w:lvlJc w:val="right"/>
      <w:pPr>
        <w:ind w:left="1004" w:hanging="360"/>
      </w:pPr>
      <w:rPr>
        <w:rFonts w:ascii="Arial Bold" w:hAnsi="Arial Bold" w:hint="default"/>
        <w:b/>
        <w:i w:val="0"/>
        <w:sz w:val="32"/>
        <w:szCs w:val="32"/>
      </w:rPr>
    </w:lvl>
    <w:lvl w:ilvl="1">
      <w:start w:val="1"/>
      <w:numFmt w:val="decimal"/>
      <w:isLgl/>
      <w:lvlText w:val="%1.%2"/>
      <w:lvlJc w:val="left"/>
      <w:pPr>
        <w:ind w:left="1124" w:hanging="480"/>
      </w:pPr>
      <w:rPr>
        <w:rFonts w:hint="default"/>
      </w:rPr>
    </w:lvl>
    <w:lvl w:ilvl="2">
      <w:start w:val="2"/>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7" w15:restartNumberingAfterBreak="0">
    <w:nsid w:val="125F7B4D"/>
    <w:multiLevelType w:val="hybridMultilevel"/>
    <w:tmpl w:val="5D308CDE"/>
    <w:lvl w:ilvl="0" w:tplc="2D58E3A8">
      <w:start w:val="1"/>
      <w:numFmt w:val="decimal"/>
      <w:lvlText w:val="6.%1 "/>
      <w:lvlJc w:val="left"/>
      <w:pPr>
        <w:ind w:left="720" w:hanging="360"/>
      </w:pPr>
      <w:rPr>
        <w:rFonts w:ascii="Arial" w:hAnsi="Arial" w:hint="default"/>
        <w:b w:val="0"/>
        <w:i w:val="0"/>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B925C6"/>
    <w:multiLevelType w:val="hybridMultilevel"/>
    <w:tmpl w:val="B7CEC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FB069B"/>
    <w:multiLevelType w:val="hybridMultilevel"/>
    <w:tmpl w:val="6EB0B2B2"/>
    <w:lvl w:ilvl="0" w:tplc="F67C9CF8">
      <w:start w:val="1"/>
      <w:numFmt w:val="decimal"/>
      <w:lvlText w:val="2.%1 1"/>
      <w:lvlJc w:val="left"/>
      <w:pPr>
        <w:ind w:left="720" w:hanging="360"/>
      </w:pPr>
      <w:rPr>
        <w:rFonts w:ascii="Arial Bold" w:hAnsi="Arial Bold" w:hint="default"/>
        <w:b/>
        <w:i w:val="0"/>
        <w:color w:val="auto"/>
        <w:sz w:val="24"/>
        <w:szCs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6111B6"/>
    <w:multiLevelType w:val="hybridMultilevel"/>
    <w:tmpl w:val="3C7A7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1D5CDF"/>
    <w:multiLevelType w:val="hybridMultilevel"/>
    <w:tmpl w:val="35E292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B635020"/>
    <w:multiLevelType w:val="hybridMultilevel"/>
    <w:tmpl w:val="A5C4D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C8A165C"/>
    <w:multiLevelType w:val="multilevel"/>
    <w:tmpl w:val="97A4003C"/>
    <w:lvl w:ilvl="0">
      <w:start w:val="4"/>
      <w:numFmt w:val="decimal"/>
      <w:lvlText w:val="%1"/>
      <w:lvlJc w:val="left"/>
      <w:pPr>
        <w:ind w:left="1069" w:hanging="360"/>
      </w:pPr>
      <w:rPr>
        <w:rFonts w:hint="default"/>
      </w:rPr>
    </w:lvl>
    <w:lvl w:ilvl="1">
      <w:start w:val="1"/>
      <w:numFmt w:val="decimal"/>
      <w:lvlText w:val="%1.%2"/>
      <w:lvlJc w:val="left"/>
      <w:pPr>
        <w:ind w:left="1429" w:hanging="360"/>
      </w:pPr>
      <w:rPr>
        <w:rFonts w:hint="default"/>
        <w:color w:val="000000" w:themeColor="text1"/>
      </w:rPr>
    </w:lvl>
    <w:lvl w:ilvl="2">
      <w:start w:val="1"/>
      <w:numFmt w:val="decimal"/>
      <w:lvlText w:val="%1.%2.%3"/>
      <w:lvlJc w:val="left"/>
      <w:pPr>
        <w:ind w:left="2149" w:hanging="720"/>
      </w:pPr>
      <w:rPr>
        <w:rFonts w:hint="default"/>
      </w:rPr>
    </w:lvl>
    <w:lvl w:ilvl="3">
      <w:start w:val="1"/>
      <w:numFmt w:val="decimal"/>
      <w:lvlText w:val="%1.%2.%3.%4"/>
      <w:lvlJc w:val="left"/>
      <w:pPr>
        <w:ind w:left="2509" w:hanging="720"/>
      </w:pPr>
      <w:rPr>
        <w:rFonts w:hint="default"/>
      </w:rPr>
    </w:lvl>
    <w:lvl w:ilvl="4">
      <w:start w:val="1"/>
      <w:numFmt w:val="decimal"/>
      <w:lvlText w:val="%1.%2.%3.%4.%5"/>
      <w:lvlJc w:val="left"/>
      <w:pPr>
        <w:ind w:left="3229" w:hanging="1080"/>
      </w:pPr>
      <w:rPr>
        <w:rFonts w:hint="default"/>
      </w:rPr>
    </w:lvl>
    <w:lvl w:ilvl="5">
      <w:start w:val="1"/>
      <w:numFmt w:val="decimal"/>
      <w:lvlText w:val="%1.%2.%3.%4.%5.%6"/>
      <w:lvlJc w:val="left"/>
      <w:pPr>
        <w:ind w:left="3589" w:hanging="1080"/>
      </w:pPr>
      <w:rPr>
        <w:rFonts w:hint="default"/>
      </w:rPr>
    </w:lvl>
    <w:lvl w:ilvl="6">
      <w:start w:val="1"/>
      <w:numFmt w:val="decimal"/>
      <w:lvlText w:val="%1.%2.%3.%4.%5.%6.%7"/>
      <w:lvlJc w:val="left"/>
      <w:pPr>
        <w:ind w:left="4309" w:hanging="1440"/>
      </w:pPr>
      <w:rPr>
        <w:rFonts w:hint="default"/>
      </w:rPr>
    </w:lvl>
    <w:lvl w:ilvl="7">
      <w:start w:val="1"/>
      <w:numFmt w:val="decimal"/>
      <w:lvlText w:val="%1.%2.%3.%4.%5.%6.%7.%8"/>
      <w:lvlJc w:val="left"/>
      <w:pPr>
        <w:ind w:left="4669" w:hanging="1440"/>
      </w:pPr>
      <w:rPr>
        <w:rFonts w:hint="default"/>
      </w:rPr>
    </w:lvl>
    <w:lvl w:ilvl="8">
      <w:start w:val="1"/>
      <w:numFmt w:val="decimal"/>
      <w:lvlText w:val="%1.%2.%3.%4.%5.%6.%7.%8.%9"/>
      <w:lvlJc w:val="left"/>
      <w:pPr>
        <w:ind w:left="5389" w:hanging="1800"/>
      </w:pPr>
      <w:rPr>
        <w:rFonts w:hint="default"/>
      </w:rPr>
    </w:lvl>
  </w:abstractNum>
  <w:abstractNum w:abstractNumId="14" w15:restartNumberingAfterBreak="0">
    <w:nsid w:val="1EAF62C6"/>
    <w:multiLevelType w:val="hybridMultilevel"/>
    <w:tmpl w:val="335E226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22530CDD"/>
    <w:multiLevelType w:val="hybridMultilevel"/>
    <w:tmpl w:val="54ACA59C"/>
    <w:lvl w:ilvl="0" w:tplc="2A242C52">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3215748"/>
    <w:multiLevelType w:val="hybridMultilevel"/>
    <w:tmpl w:val="652E0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851E54"/>
    <w:multiLevelType w:val="multilevel"/>
    <w:tmpl w:val="C80E63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BE956C7"/>
    <w:multiLevelType w:val="multilevel"/>
    <w:tmpl w:val="ED381620"/>
    <w:lvl w:ilvl="0">
      <w:start w:val="1"/>
      <w:numFmt w:val="decimal"/>
      <w:lvlText w:val="%1."/>
      <w:lvlJc w:val="right"/>
      <w:pPr>
        <w:ind w:left="720" w:hanging="360"/>
      </w:pPr>
      <w:rPr>
        <w:rFonts w:ascii="Arial Bold" w:hAnsi="Arial Bold" w:hint="default"/>
        <w:b/>
        <w:i w:val="0"/>
        <w:sz w:val="22"/>
        <w:szCs w:val="22"/>
      </w:r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FCA172B"/>
    <w:multiLevelType w:val="hybridMultilevel"/>
    <w:tmpl w:val="980227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96063B"/>
    <w:multiLevelType w:val="hybridMultilevel"/>
    <w:tmpl w:val="DF28C238"/>
    <w:lvl w:ilvl="0" w:tplc="8640DB0A">
      <w:start w:val="1"/>
      <w:numFmt w:val="decimal"/>
      <w:lvlText w:val="3.%1 "/>
      <w:lvlJc w:val="left"/>
      <w:pPr>
        <w:ind w:left="720" w:hanging="360"/>
      </w:pPr>
      <w:rPr>
        <w:rFonts w:ascii="Arial Bold" w:hAnsi="Arial Bold" w:hint="default"/>
        <w:b/>
        <w:i w:val="0"/>
        <w:sz w:val="24"/>
        <w:szCs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4B0A4E"/>
    <w:multiLevelType w:val="hybridMultilevel"/>
    <w:tmpl w:val="49ACA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027339"/>
    <w:multiLevelType w:val="hybridMultilevel"/>
    <w:tmpl w:val="4C969370"/>
    <w:lvl w:ilvl="0" w:tplc="28EA0D4A">
      <w:start w:val="1"/>
      <w:numFmt w:val="decimal"/>
      <w:lvlText w:val="7.%1 "/>
      <w:lvlJc w:val="left"/>
      <w:pPr>
        <w:ind w:left="720" w:hanging="360"/>
      </w:pPr>
      <w:rPr>
        <w:rFonts w:ascii="Arial" w:hAnsi="Arial" w:hint="default"/>
        <w:b w:val="0"/>
        <w:i w:val="0"/>
        <w:color w:val="auto"/>
        <w:sz w:val="22"/>
        <w:szCs w:val="2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4D4D2A"/>
    <w:multiLevelType w:val="multilevel"/>
    <w:tmpl w:val="5F606E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95C38EC"/>
    <w:multiLevelType w:val="hybridMultilevel"/>
    <w:tmpl w:val="19589F80"/>
    <w:lvl w:ilvl="0" w:tplc="FB00BBBE">
      <w:start w:val="1"/>
      <w:numFmt w:val="decimal"/>
      <w:lvlText w:val="8.%1 "/>
      <w:lvlJc w:val="left"/>
      <w:pPr>
        <w:ind w:left="720" w:hanging="360"/>
      </w:pPr>
      <w:rPr>
        <w:rFonts w:ascii="Arial" w:hAnsi="Arial" w:hint="default"/>
        <w:b w:val="0"/>
        <w:i w:val="0"/>
        <w:color w:val="auto"/>
        <w:sz w:val="22"/>
        <w:szCs w:val="2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7F0E90"/>
    <w:multiLevelType w:val="multilevel"/>
    <w:tmpl w:val="C80E63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A927661"/>
    <w:multiLevelType w:val="multilevel"/>
    <w:tmpl w:val="3CE0CAAA"/>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D270B99"/>
    <w:multiLevelType w:val="hybridMultilevel"/>
    <w:tmpl w:val="B044B71C"/>
    <w:lvl w:ilvl="0" w:tplc="CC94DA1C">
      <w:start w:val="1"/>
      <w:numFmt w:val="decimal"/>
      <w:lvlText w:val="3.%1 "/>
      <w:lvlJc w:val="left"/>
      <w:pPr>
        <w:ind w:left="720" w:hanging="360"/>
      </w:pPr>
      <w:rPr>
        <w:rFonts w:ascii="Arial" w:hAnsi="Arial" w:hint="default"/>
        <w:b w:val="0"/>
        <w:i w:val="0"/>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905284"/>
    <w:multiLevelType w:val="multilevel"/>
    <w:tmpl w:val="97A4003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color w:val="000000" w:themeColor="text1"/>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E2656AF"/>
    <w:multiLevelType w:val="hybridMultilevel"/>
    <w:tmpl w:val="9ECEE43A"/>
    <w:lvl w:ilvl="0" w:tplc="E45AE8A2">
      <w:start w:val="1"/>
      <w:numFmt w:val="decimal"/>
      <w:lvlText w:val="4.%1 "/>
      <w:lvlJc w:val="left"/>
      <w:pPr>
        <w:ind w:left="720" w:hanging="360"/>
      </w:pPr>
      <w:rPr>
        <w:rFonts w:ascii="Arial" w:hAnsi="Arial" w:hint="default"/>
        <w:b w:val="0"/>
        <w:i w:val="0"/>
        <w:sz w:val="22"/>
        <w:szCs w:val="2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F86FB1"/>
    <w:multiLevelType w:val="hybridMultilevel"/>
    <w:tmpl w:val="4C0A95EE"/>
    <w:lvl w:ilvl="0" w:tplc="CB3C6AB0">
      <w:start w:val="1"/>
      <w:numFmt w:val="decimal"/>
      <w:lvlText w:val="2.%1 "/>
      <w:lvlJc w:val="left"/>
      <w:pPr>
        <w:ind w:left="720" w:hanging="360"/>
      </w:pPr>
      <w:rPr>
        <w:rFonts w:ascii="Arial" w:hAnsi="Arial" w:hint="default"/>
        <w:b w:val="0"/>
        <w:i w:val="0"/>
        <w:color w:val="auto"/>
        <w:sz w:val="22"/>
        <w:szCs w:val="20"/>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3F05673"/>
    <w:multiLevelType w:val="hybridMultilevel"/>
    <w:tmpl w:val="64F2ED8C"/>
    <w:lvl w:ilvl="0" w:tplc="4642DE0E">
      <w:start w:val="1"/>
      <w:numFmt w:val="decimal"/>
      <w:lvlText w:val="%1."/>
      <w:lvlJc w:val="right"/>
      <w:pPr>
        <w:ind w:left="720" w:hanging="360"/>
      </w:pPr>
      <w:rPr>
        <w:rFonts w:hint="default"/>
        <w:b/>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0D66B7"/>
    <w:multiLevelType w:val="hybridMultilevel"/>
    <w:tmpl w:val="4A6473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EE67B2A"/>
    <w:multiLevelType w:val="hybridMultilevel"/>
    <w:tmpl w:val="B036A71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574889"/>
    <w:multiLevelType w:val="hybridMultilevel"/>
    <w:tmpl w:val="C61474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AB0D88"/>
    <w:multiLevelType w:val="hybridMultilevel"/>
    <w:tmpl w:val="AFEED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0C6CA4"/>
    <w:multiLevelType w:val="multilevel"/>
    <w:tmpl w:val="97A4003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color w:val="000000" w:themeColor="text1"/>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9390FA3"/>
    <w:multiLevelType w:val="hybridMultilevel"/>
    <w:tmpl w:val="E84657F2"/>
    <w:lvl w:ilvl="0" w:tplc="D248B6D0">
      <w:start w:val="4"/>
      <w:numFmt w:val="decimal"/>
      <w:lvlText w:val="%1."/>
      <w:lvlJc w:val="left"/>
      <w:pPr>
        <w:ind w:left="360" w:hanging="360"/>
      </w:pPr>
      <w:rPr>
        <w:rFonts w:hint="default"/>
      </w:rPr>
    </w:lvl>
    <w:lvl w:ilvl="1" w:tplc="442A82D2">
      <w:start w:val="1"/>
      <w:numFmt w:val="decimal"/>
      <w:lvlText w:val="1.%2 "/>
      <w:lvlJc w:val="left"/>
      <w:pPr>
        <w:ind w:left="1080" w:hanging="360"/>
      </w:pPr>
      <w:rPr>
        <w:rFonts w:ascii="Arial" w:hAnsi="Arial" w:hint="default"/>
        <w:b w:val="0"/>
        <w:i w:val="0"/>
        <w:sz w:val="22"/>
        <w:u w:val="none"/>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A760D04"/>
    <w:multiLevelType w:val="multilevel"/>
    <w:tmpl w:val="C80E63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D150910"/>
    <w:multiLevelType w:val="hybridMultilevel"/>
    <w:tmpl w:val="B5282D3A"/>
    <w:lvl w:ilvl="0" w:tplc="8C2CF488">
      <w:start w:val="1"/>
      <w:numFmt w:val="decimal"/>
      <w:lvlText w:val="4.%1 "/>
      <w:lvlJc w:val="left"/>
      <w:pPr>
        <w:ind w:left="720" w:hanging="360"/>
      </w:pPr>
      <w:rPr>
        <w:rFonts w:ascii="Arial Bold" w:hAnsi="Arial Bold" w:hint="default"/>
        <w:b/>
        <w:i w:val="0"/>
        <w:sz w:val="24"/>
        <w:szCs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A96932"/>
    <w:multiLevelType w:val="multilevel"/>
    <w:tmpl w:val="2EE0D3F4"/>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93710CB"/>
    <w:multiLevelType w:val="hybridMultilevel"/>
    <w:tmpl w:val="E46ECA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2" w15:restartNumberingAfterBreak="0">
    <w:nsid w:val="798668D4"/>
    <w:multiLevelType w:val="hybridMultilevel"/>
    <w:tmpl w:val="9572B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F33167"/>
    <w:multiLevelType w:val="hybridMultilevel"/>
    <w:tmpl w:val="75DE6728"/>
    <w:lvl w:ilvl="0" w:tplc="03040C1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CF1007F"/>
    <w:multiLevelType w:val="hybridMultilevel"/>
    <w:tmpl w:val="4A66B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F4F5203"/>
    <w:multiLevelType w:val="hybridMultilevel"/>
    <w:tmpl w:val="FC3AF91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2"/>
  </w:num>
  <w:num w:numId="2">
    <w:abstractNumId w:val="30"/>
  </w:num>
  <w:num w:numId="3">
    <w:abstractNumId w:val="41"/>
  </w:num>
  <w:num w:numId="4">
    <w:abstractNumId w:val="10"/>
  </w:num>
  <w:num w:numId="5">
    <w:abstractNumId w:val="32"/>
  </w:num>
  <w:num w:numId="6">
    <w:abstractNumId w:val="19"/>
  </w:num>
  <w:num w:numId="7">
    <w:abstractNumId w:val="8"/>
  </w:num>
  <w:num w:numId="8">
    <w:abstractNumId w:val="16"/>
  </w:num>
  <w:num w:numId="9">
    <w:abstractNumId w:val="25"/>
  </w:num>
  <w:num w:numId="10">
    <w:abstractNumId w:val="40"/>
  </w:num>
  <w:num w:numId="11">
    <w:abstractNumId w:val="45"/>
  </w:num>
  <w:num w:numId="12">
    <w:abstractNumId w:val="14"/>
  </w:num>
  <w:num w:numId="13">
    <w:abstractNumId w:val="21"/>
  </w:num>
  <w:num w:numId="14">
    <w:abstractNumId w:val="3"/>
  </w:num>
  <w:num w:numId="15">
    <w:abstractNumId w:val="23"/>
  </w:num>
  <w:num w:numId="16">
    <w:abstractNumId w:val="26"/>
  </w:num>
  <w:num w:numId="17">
    <w:abstractNumId w:val="35"/>
  </w:num>
  <w:num w:numId="18">
    <w:abstractNumId w:val="12"/>
  </w:num>
  <w:num w:numId="19">
    <w:abstractNumId w:val="43"/>
  </w:num>
  <w:num w:numId="20">
    <w:abstractNumId w:val="15"/>
  </w:num>
  <w:num w:numId="21">
    <w:abstractNumId w:val="31"/>
  </w:num>
  <w:num w:numId="22">
    <w:abstractNumId w:val="27"/>
  </w:num>
  <w:num w:numId="23">
    <w:abstractNumId w:val="29"/>
  </w:num>
  <w:num w:numId="24">
    <w:abstractNumId w:val="6"/>
  </w:num>
  <w:num w:numId="25">
    <w:abstractNumId w:val="0"/>
  </w:num>
  <w:num w:numId="26">
    <w:abstractNumId w:val="9"/>
  </w:num>
  <w:num w:numId="27">
    <w:abstractNumId w:val="20"/>
  </w:num>
  <w:num w:numId="28">
    <w:abstractNumId w:val="39"/>
  </w:num>
  <w:num w:numId="29">
    <w:abstractNumId w:val="34"/>
  </w:num>
  <w:num w:numId="30">
    <w:abstractNumId w:val="4"/>
  </w:num>
  <w:num w:numId="31">
    <w:abstractNumId w:val="7"/>
  </w:num>
  <w:num w:numId="32">
    <w:abstractNumId w:val="33"/>
  </w:num>
  <w:num w:numId="33">
    <w:abstractNumId w:val="18"/>
  </w:num>
  <w:num w:numId="34">
    <w:abstractNumId w:val="44"/>
  </w:num>
  <w:num w:numId="35">
    <w:abstractNumId w:val="37"/>
  </w:num>
  <w:num w:numId="36">
    <w:abstractNumId w:val="13"/>
  </w:num>
  <w:num w:numId="37">
    <w:abstractNumId w:val="36"/>
  </w:num>
  <w:num w:numId="38">
    <w:abstractNumId w:val="28"/>
  </w:num>
  <w:num w:numId="39">
    <w:abstractNumId w:val="24"/>
  </w:num>
  <w:num w:numId="40">
    <w:abstractNumId w:val="5"/>
  </w:num>
  <w:num w:numId="41">
    <w:abstractNumId w:val="22"/>
  </w:num>
  <w:num w:numId="42">
    <w:abstractNumId w:val="1"/>
  </w:num>
  <w:num w:numId="43">
    <w:abstractNumId w:val="11"/>
  </w:num>
  <w:num w:numId="44">
    <w:abstractNumId w:val="42"/>
  </w:num>
  <w:num w:numId="45">
    <w:abstractNumId w:val="17"/>
  </w:num>
  <w:num w:numId="46">
    <w:abstractNumId w:val="3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80F"/>
    <w:rsid w:val="00001273"/>
    <w:rsid w:val="00003EA8"/>
    <w:rsid w:val="00005FAE"/>
    <w:rsid w:val="00011D00"/>
    <w:rsid w:val="0001394D"/>
    <w:rsid w:val="0001519D"/>
    <w:rsid w:val="00015773"/>
    <w:rsid w:val="00020098"/>
    <w:rsid w:val="00026D48"/>
    <w:rsid w:val="00030C01"/>
    <w:rsid w:val="000363C1"/>
    <w:rsid w:val="00045551"/>
    <w:rsid w:val="00046C97"/>
    <w:rsid w:val="0004728B"/>
    <w:rsid w:val="00047EC9"/>
    <w:rsid w:val="000513CB"/>
    <w:rsid w:val="000519F7"/>
    <w:rsid w:val="0005530B"/>
    <w:rsid w:val="000554B6"/>
    <w:rsid w:val="000570BA"/>
    <w:rsid w:val="00060451"/>
    <w:rsid w:val="000606C8"/>
    <w:rsid w:val="000606DA"/>
    <w:rsid w:val="00061DF2"/>
    <w:rsid w:val="00065C50"/>
    <w:rsid w:val="00067436"/>
    <w:rsid w:val="000703DF"/>
    <w:rsid w:val="00070FC0"/>
    <w:rsid w:val="000717C3"/>
    <w:rsid w:val="00074A65"/>
    <w:rsid w:val="00074E69"/>
    <w:rsid w:val="00081D64"/>
    <w:rsid w:val="00083460"/>
    <w:rsid w:val="0008523C"/>
    <w:rsid w:val="000877FE"/>
    <w:rsid w:val="00090765"/>
    <w:rsid w:val="00090AE1"/>
    <w:rsid w:val="000937EA"/>
    <w:rsid w:val="00094A5E"/>
    <w:rsid w:val="000A02A2"/>
    <w:rsid w:val="000A0613"/>
    <w:rsid w:val="000A1A48"/>
    <w:rsid w:val="000A37AA"/>
    <w:rsid w:val="000A63C1"/>
    <w:rsid w:val="000A6507"/>
    <w:rsid w:val="000A69FA"/>
    <w:rsid w:val="000A7F7B"/>
    <w:rsid w:val="000A7FB5"/>
    <w:rsid w:val="000B0154"/>
    <w:rsid w:val="000B52AC"/>
    <w:rsid w:val="000B7EFC"/>
    <w:rsid w:val="000C00E3"/>
    <w:rsid w:val="000C49C7"/>
    <w:rsid w:val="000C6992"/>
    <w:rsid w:val="000D5715"/>
    <w:rsid w:val="000D66B6"/>
    <w:rsid w:val="000E042B"/>
    <w:rsid w:val="000E08FB"/>
    <w:rsid w:val="000E0E3F"/>
    <w:rsid w:val="000E28D6"/>
    <w:rsid w:val="000F5B0B"/>
    <w:rsid w:val="000F6784"/>
    <w:rsid w:val="0010006B"/>
    <w:rsid w:val="0010152F"/>
    <w:rsid w:val="001020C6"/>
    <w:rsid w:val="00105847"/>
    <w:rsid w:val="0010707C"/>
    <w:rsid w:val="00110224"/>
    <w:rsid w:val="00117C17"/>
    <w:rsid w:val="00122600"/>
    <w:rsid w:val="0012793E"/>
    <w:rsid w:val="00130FE9"/>
    <w:rsid w:val="00132EAD"/>
    <w:rsid w:val="0013636C"/>
    <w:rsid w:val="001404AC"/>
    <w:rsid w:val="00143ACC"/>
    <w:rsid w:val="00144DD7"/>
    <w:rsid w:val="00150C54"/>
    <w:rsid w:val="001518DC"/>
    <w:rsid w:val="001533DE"/>
    <w:rsid w:val="00155863"/>
    <w:rsid w:val="00157A2E"/>
    <w:rsid w:val="0016063A"/>
    <w:rsid w:val="001611C6"/>
    <w:rsid w:val="001647F1"/>
    <w:rsid w:val="001654EB"/>
    <w:rsid w:val="0016570E"/>
    <w:rsid w:val="001674F4"/>
    <w:rsid w:val="00175634"/>
    <w:rsid w:val="00182A10"/>
    <w:rsid w:val="0018715F"/>
    <w:rsid w:val="001916B9"/>
    <w:rsid w:val="00194992"/>
    <w:rsid w:val="0019527E"/>
    <w:rsid w:val="001970E3"/>
    <w:rsid w:val="001A290D"/>
    <w:rsid w:val="001A59F0"/>
    <w:rsid w:val="001A5C46"/>
    <w:rsid w:val="001A7A41"/>
    <w:rsid w:val="001A7C83"/>
    <w:rsid w:val="001B195B"/>
    <w:rsid w:val="001B4633"/>
    <w:rsid w:val="001B5420"/>
    <w:rsid w:val="001B5F68"/>
    <w:rsid w:val="001B64AF"/>
    <w:rsid w:val="001C057A"/>
    <w:rsid w:val="001C17AB"/>
    <w:rsid w:val="001C1B92"/>
    <w:rsid w:val="001C2AF3"/>
    <w:rsid w:val="001C4CC7"/>
    <w:rsid w:val="001D0C67"/>
    <w:rsid w:val="001E383E"/>
    <w:rsid w:val="001E458D"/>
    <w:rsid w:val="001E6741"/>
    <w:rsid w:val="001E6D0C"/>
    <w:rsid w:val="001E7484"/>
    <w:rsid w:val="001F22E6"/>
    <w:rsid w:val="001F3582"/>
    <w:rsid w:val="001F3D72"/>
    <w:rsid w:val="001F589F"/>
    <w:rsid w:val="001F61B9"/>
    <w:rsid w:val="001F6A9A"/>
    <w:rsid w:val="001F7C6C"/>
    <w:rsid w:val="0020142D"/>
    <w:rsid w:val="0020614D"/>
    <w:rsid w:val="00211B2F"/>
    <w:rsid w:val="00212326"/>
    <w:rsid w:val="00213C10"/>
    <w:rsid w:val="002158DF"/>
    <w:rsid w:val="0022032A"/>
    <w:rsid w:val="00221B68"/>
    <w:rsid w:val="00222FE0"/>
    <w:rsid w:val="002236C3"/>
    <w:rsid w:val="00223AC4"/>
    <w:rsid w:val="00225304"/>
    <w:rsid w:val="00227D73"/>
    <w:rsid w:val="00230C93"/>
    <w:rsid w:val="002314F0"/>
    <w:rsid w:val="00234063"/>
    <w:rsid w:val="002342F6"/>
    <w:rsid w:val="00236B3F"/>
    <w:rsid w:val="00245C58"/>
    <w:rsid w:val="00247640"/>
    <w:rsid w:val="00250375"/>
    <w:rsid w:val="00250882"/>
    <w:rsid w:val="00252247"/>
    <w:rsid w:val="00254EED"/>
    <w:rsid w:val="002609DC"/>
    <w:rsid w:val="00261B0E"/>
    <w:rsid w:val="00262528"/>
    <w:rsid w:val="002715F0"/>
    <w:rsid w:val="00272A1C"/>
    <w:rsid w:val="00273166"/>
    <w:rsid w:val="00275421"/>
    <w:rsid w:val="00281064"/>
    <w:rsid w:val="0028639D"/>
    <w:rsid w:val="0028783B"/>
    <w:rsid w:val="002925D4"/>
    <w:rsid w:val="002932B5"/>
    <w:rsid w:val="0029388F"/>
    <w:rsid w:val="002939A4"/>
    <w:rsid w:val="002940BF"/>
    <w:rsid w:val="002940F7"/>
    <w:rsid w:val="00294B8A"/>
    <w:rsid w:val="002958B1"/>
    <w:rsid w:val="00295BCB"/>
    <w:rsid w:val="002A16D1"/>
    <w:rsid w:val="002A400C"/>
    <w:rsid w:val="002A749A"/>
    <w:rsid w:val="002B0846"/>
    <w:rsid w:val="002B0BBD"/>
    <w:rsid w:val="002B0E35"/>
    <w:rsid w:val="002B10CB"/>
    <w:rsid w:val="002B59F4"/>
    <w:rsid w:val="002C098A"/>
    <w:rsid w:val="002C36B5"/>
    <w:rsid w:val="002D0331"/>
    <w:rsid w:val="002D127F"/>
    <w:rsid w:val="002D18AA"/>
    <w:rsid w:val="002D1EFF"/>
    <w:rsid w:val="002D3A78"/>
    <w:rsid w:val="002D67BF"/>
    <w:rsid w:val="002E2261"/>
    <w:rsid w:val="002E7462"/>
    <w:rsid w:val="002F23FB"/>
    <w:rsid w:val="002F24A3"/>
    <w:rsid w:val="002F2B84"/>
    <w:rsid w:val="002F4729"/>
    <w:rsid w:val="002F5696"/>
    <w:rsid w:val="002F674C"/>
    <w:rsid w:val="002F79B0"/>
    <w:rsid w:val="002F7C9E"/>
    <w:rsid w:val="00300F5D"/>
    <w:rsid w:val="0030273B"/>
    <w:rsid w:val="00305088"/>
    <w:rsid w:val="00307860"/>
    <w:rsid w:val="003132FC"/>
    <w:rsid w:val="003169F5"/>
    <w:rsid w:val="00317463"/>
    <w:rsid w:val="00320332"/>
    <w:rsid w:val="00320E5F"/>
    <w:rsid w:val="00320F8E"/>
    <w:rsid w:val="003236DB"/>
    <w:rsid w:val="00327167"/>
    <w:rsid w:val="00332FF2"/>
    <w:rsid w:val="00333B6F"/>
    <w:rsid w:val="00336824"/>
    <w:rsid w:val="003379B9"/>
    <w:rsid w:val="003428AF"/>
    <w:rsid w:val="003430F9"/>
    <w:rsid w:val="00343BC3"/>
    <w:rsid w:val="00347557"/>
    <w:rsid w:val="003528E6"/>
    <w:rsid w:val="00356CEA"/>
    <w:rsid w:val="003604D0"/>
    <w:rsid w:val="003718E9"/>
    <w:rsid w:val="003751CF"/>
    <w:rsid w:val="003754CD"/>
    <w:rsid w:val="00382DD6"/>
    <w:rsid w:val="003831EC"/>
    <w:rsid w:val="0038624B"/>
    <w:rsid w:val="003872B0"/>
    <w:rsid w:val="0038735B"/>
    <w:rsid w:val="00394421"/>
    <w:rsid w:val="003A0859"/>
    <w:rsid w:val="003A16C4"/>
    <w:rsid w:val="003A2A9C"/>
    <w:rsid w:val="003A3C41"/>
    <w:rsid w:val="003A42FA"/>
    <w:rsid w:val="003A4753"/>
    <w:rsid w:val="003A64CE"/>
    <w:rsid w:val="003B2023"/>
    <w:rsid w:val="003B4101"/>
    <w:rsid w:val="003B44F7"/>
    <w:rsid w:val="003B4788"/>
    <w:rsid w:val="003B6A23"/>
    <w:rsid w:val="003C330F"/>
    <w:rsid w:val="003C384A"/>
    <w:rsid w:val="003C498E"/>
    <w:rsid w:val="003C6A49"/>
    <w:rsid w:val="003D0BF2"/>
    <w:rsid w:val="003D1DCD"/>
    <w:rsid w:val="003D284B"/>
    <w:rsid w:val="003D2B5F"/>
    <w:rsid w:val="003D3162"/>
    <w:rsid w:val="003D34AC"/>
    <w:rsid w:val="003D7826"/>
    <w:rsid w:val="003E1680"/>
    <w:rsid w:val="003E288B"/>
    <w:rsid w:val="003E66D4"/>
    <w:rsid w:val="003E7879"/>
    <w:rsid w:val="003F4072"/>
    <w:rsid w:val="003F6301"/>
    <w:rsid w:val="003F67AD"/>
    <w:rsid w:val="00400758"/>
    <w:rsid w:val="00404912"/>
    <w:rsid w:val="0040591B"/>
    <w:rsid w:val="00407630"/>
    <w:rsid w:val="00416860"/>
    <w:rsid w:val="004177AB"/>
    <w:rsid w:val="00420910"/>
    <w:rsid w:val="00423224"/>
    <w:rsid w:val="004303A3"/>
    <w:rsid w:val="00431F5C"/>
    <w:rsid w:val="004323C5"/>
    <w:rsid w:val="00432746"/>
    <w:rsid w:val="00435699"/>
    <w:rsid w:val="00436DAF"/>
    <w:rsid w:val="00436FB5"/>
    <w:rsid w:val="00442F01"/>
    <w:rsid w:val="0044714C"/>
    <w:rsid w:val="0044785F"/>
    <w:rsid w:val="00450312"/>
    <w:rsid w:val="004512AD"/>
    <w:rsid w:val="004548D5"/>
    <w:rsid w:val="004562EB"/>
    <w:rsid w:val="00457656"/>
    <w:rsid w:val="0046691F"/>
    <w:rsid w:val="004679A4"/>
    <w:rsid w:val="004740A1"/>
    <w:rsid w:val="00482752"/>
    <w:rsid w:val="00483477"/>
    <w:rsid w:val="00483E13"/>
    <w:rsid w:val="00484206"/>
    <w:rsid w:val="00486EFF"/>
    <w:rsid w:val="00492230"/>
    <w:rsid w:val="004928BE"/>
    <w:rsid w:val="00492D75"/>
    <w:rsid w:val="00493B89"/>
    <w:rsid w:val="00493D42"/>
    <w:rsid w:val="00494760"/>
    <w:rsid w:val="00496A64"/>
    <w:rsid w:val="004972B2"/>
    <w:rsid w:val="004A1A88"/>
    <w:rsid w:val="004A216F"/>
    <w:rsid w:val="004A2537"/>
    <w:rsid w:val="004A5FF8"/>
    <w:rsid w:val="004A62BB"/>
    <w:rsid w:val="004A6FF0"/>
    <w:rsid w:val="004A75DF"/>
    <w:rsid w:val="004A76B3"/>
    <w:rsid w:val="004B3AD4"/>
    <w:rsid w:val="004B4728"/>
    <w:rsid w:val="004B55BD"/>
    <w:rsid w:val="004C2BD5"/>
    <w:rsid w:val="004C595B"/>
    <w:rsid w:val="004C7570"/>
    <w:rsid w:val="004D3700"/>
    <w:rsid w:val="004E1C05"/>
    <w:rsid w:val="004E29D2"/>
    <w:rsid w:val="004E41C3"/>
    <w:rsid w:val="004E5EEF"/>
    <w:rsid w:val="004E7078"/>
    <w:rsid w:val="004E7BD9"/>
    <w:rsid w:val="004E7CD7"/>
    <w:rsid w:val="004F1A7D"/>
    <w:rsid w:val="004F2E6C"/>
    <w:rsid w:val="004F3C87"/>
    <w:rsid w:val="004F4138"/>
    <w:rsid w:val="004F752C"/>
    <w:rsid w:val="00501577"/>
    <w:rsid w:val="0050375E"/>
    <w:rsid w:val="00511E52"/>
    <w:rsid w:val="00513337"/>
    <w:rsid w:val="00513943"/>
    <w:rsid w:val="00513D60"/>
    <w:rsid w:val="00516694"/>
    <w:rsid w:val="00516C98"/>
    <w:rsid w:val="005171BF"/>
    <w:rsid w:val="005209EE"/>
    <w:rsid w:val="00520D66"/>
    <w:rsid w:val="00522AF0"/>
    <w:rsid w:val="00522BF1"/>
    <w:rsid w:val="00524418"/>
    <w:rsid w:val="00524D2E"/>
    <w:rsid w:val="00534295"/>
    <w:rsid w:val="0053546E"/>
    <w:rsid w:val="005409EC"/>
    <w:rsid w:val="005429B1"/>
    <w:rsid w:val="005445BA"/>
    <w:rsid w:val="0055073E"/>
    <w:rsid w:val="005507AC"/>
    <w:rsid w:val="005517C0"/>
    <w:rsid w:val="0055400B"/>
    <w:rsid w:val="005569F3"/>
    <w:rsid w:val="005643D6"/>
    <w:rsid w:val="00565C99"/>
    <w:rsid w:val="00566CF1"/>
    <w:rsid w:val="00571A83"/>
    <w:rsid w:val="005760AF"/>
    <w:rsid w:val="005806E9"/>
    <w:rsid w:val="00581D04"/>
    <w:rsid w:val="005829A7"/>
    <w:rsid w:val="005840E6"/>
    <w:rsid w:val="005845EF"/>
    <w:rsid w:val="0058560D"/>
    <w:rsid w:val="00585A54"/>
    <w:rsid w:val="00585B41"/>
    <w:rsid w:val="0058640E"/>
    <w:rsid w:val="00586578"/>
    <w:rsid w:val="005876B4"/>
    <w:rsid w:val="005927DE"/>
    <w:rsid w:val="00592828"/>
    <w:rsid w:val="00592856"/>
    <w:rsid w:val="005961EE"/>
    <w:rsid w:val="00596E8E"/>
    <w:rsid w:val="005B1E3E"/>
    <w:rsid w:val="005B78C7"/>
    <w:rsid w:val="005C0359"/>
    <w:rsid w:val="005C21F5"/>
    <w:rsid w:val="005C253A"/>
    <w:rsid w:val="005C3B1C"/>
    <w:rsid w:val="005C3C00"/>
    <w:rsid w:val="005C3CA9"/>
    <w:rsid w:val="005C57C9"/>
    <w:rsid w:val="005C621A"/>
    <w:rsid w:val="005C69B5"/>
    <w:rsid w:val="005C6BEC"/>
    <w:rsid w:val="005D1D3E"/>
    <w:rsid w:val="005D3182"/>
    <w:rsid w:val="005D4C31"/>
    <w:rsid w:val="005E05ED"/>
    <w:rsid w:val="005E187B"/>
    <w:rsid w:val="005E289F"/>
    <w:rsid w:val="005E58CF"/>
    <w:rsid w:val="005E5C6D"/>
    <w:rsid w:val="005E5E55"/>
    <w:rsid w:val="005E7ED3"/>
    <w:rsid w:val="005F3E59"/>
    <w:rsid w:val="005F49D3"/>
    <w:rsid w:val="005F5395"/>
    <w:rsid w:val="005F53E4"/>
    <w:rsid w:val="005F72A1"/>
    <w:rsid w:val="00603D0F"/>
    <w:rsid w:val="00604774"/>
    <w:rsid w:val="0060732A"/>
    <w:rsid w:val="006110B0"/>
    <w:rsid w:val="006161FB"/>
    <w:rsid w:val="00616426"/>
    <w:rsid w:val="00620BF8"/>
    <w:rsid w:val="006221DF"/>
    <w:rsid w:val="006240AC"/>
    <w:rsid w:val="00627A1E"/>
    <w:rsid w:val="006311B0"/>
    <w:rsid w:val="00633798"/>
    <w:rsid w:val="00633CE5"/>
    <w:rsid w:val="00633FE8"/>
    <w:rsid w:val="0063583E"/>
    <w:rsid w:val="00636A33"/>
    <w:rsid w:val="006401A2"/>
    <w:rsid w:val="0064209B"/>
    <w:rsid w:val="00646884"/>
    <w:rsid w:val="006509E3"/>
    <w:rsid w:val="0065242F"/>
    <w:rsid w:val="0065262A"/>
    <w:rsid w:val="00652FEB"/>
    <w:rsid w:val="00654968"/>
    <w:rsid w:val="00655A21"/>
    <w:rsid w:val="006610A9"/>
    <w:rsid w:val="006625C0"/>
    <w:rsid w:val="006659E7"/>
    <w:rsid w:val="00665A00"/>
    <w:rsid w:val="00666ABF"/>
    <w:rsid w:val="006671AD"/>
    <w:rsid w:val="00677B73"/>
    <w:rsid w:val="00677D10"/>
    <w:rsid w:val="006802FE"/>
    <w:rsid w:val="0068085C"/>
    <w:rsid w:val="00681C96"/>
    <w:rsid w:val="00687CFD"/>
    <w:rsid w:val="00691A19"/>
    <w:rsid w:val="0069540C"/>
    <w:rsid w:val="006968EA"/>
    <w:rsid w:val="00697F4D"/>
    <w:rsid w:val="006A2C15"/>
    <w:rsid w:val="006A69FB"/>
    <w:rsid w:val="006B16A6"/>
    <w:rsid w:val="006B324B"/>
    <w:rsid w:val="006B4FC5"/>
    <w:rsid w:val="006B52CF"/>
    <w:rsid w:val="006B6313"/>
    <w:rsid w:val="006B63CF"/>
    <w:rsid w:val="006C311D"/>
    <w:rsid w:val="006C7A63"/>
    <w:rsid w:val="006D01C2"/>
    <w:rsid w:val="006D1EEB"/>
    <w:rsid w:val="006D4C3B"/>
    <w:rsid w:val="006D508C"/>
    <w:rsid w:val="006D7A21"/>
    <w:rsid w:val="006E4AE9"/>
    <w:rsid w:val="006E53BE"/>
    <w:rsid w:val="006F2B13"/>
    <w:rsid w:val="006F38CE"/>
    <w:rsid w:val="006F46E8"/>
    <w:rsid w:val="006F572E"/>
    <w:rsid w:val="006F5B2B"/>
    <w:rsid w:val="006F6639"/>
    <w:rsid w:val="006F6EC6"/>
    <w:rsid w:val="006F7607"/>
    <w:rsid w:val="007015CD"/>
    <w:rsid w:val="00704959"/>
    <w:rsid w:val="007056F8"/>
    <w:rsid w:val="00706193"/>
    <w:rsid w:val="00707EA6"/>
    <w:rsid w:val="007108B0"/>
    <w:rsid w:val="0071322E"/>
    <w:rsid w:val="00714635"/>
    <w:rsid w:val="007175E1"/>
    <w:rsid w:val="00720F7A"/>
    <w:rsid w:val="007210DF"/>
    <w:rsid w:val="00723183"/>
    <w:rsid w:val="00724CBA"/>
    <w:rsid w:val="00725869"/>
    <w:rsid w:val="00725FF8"/>
    <w:rsid w:val="007308B8"/>
    <w:rsid w:val="00731EAC"/>
    <w:rsid w:val="00734E33"/>
    <w:rsid w:val="0073567B"/>
    <w:rsid w:val="0074073A"/>
    <w:rsid w:val="007441B5"/>
    <w:rsid w:val="00746BDB"/>
    <w:rsid w:val="00747CCA"/>
    <w:rsid w:val="007500FC"/>
    <w:rsid w:val="007503FC"/>
    <w:rsid w:val="00751864"/>
    <w:rsid w:val="007526A1"/>
    <w:rsid w:val="00753B62"/>
    <w:rsid w:val="00754128"/>
    <w:rsid w:val="00754458"/>
    <w:rsid w:val="007655FA"/>
    <w:rsid w:val="00767F7C"/>
    <w:rsid w:val="00771A42"/>
    <w:rsid w:val="0077738E"/>
    <w:rsid w:val="007801FA"/>
    <w:rsid w:val="00780F3C"/>
    <w:rsid w:val="007813EE"/>
    <w:rsid w:val="007817E6"/>
    <w:rsid w:val="00781E2D"/>
    <w:rsid w:val="007823A8"/>
    <w:rsid w:val="00784550"/>
    <w:rsid w:val="007861B9"/>
    <w:rsid w:val="00786431"/>
    <w:rsid w:val="007904A6"/>
    <w:rsid w:val="0079175E"/>
    <w:rsid w:val="0079322A"/>
    <w:rsid w:val="00796E98"/>
    <w:rsid w:val="0079789D"/>
    <w:rsid w:val="007A02EC"/>
    <w:rsid w:val="007A60EF"/>
    <w:rsid w:val="007B071A"/>
    <w:rsid w:val="007B08E4"/>
    <w:rsid w:val="007B217A"/>
    <w:rsid w:val="007B23C9"/>
    <w:rsid w:val="007B30CE"/>
    <w:rsid w:val="007C0AFC"/>
    <w:rsid w:val="007C41B3"/>
    <w:rsid w:val="007C56D4"/>
    <w:rsid w:val="007C5E37"/>
    <w:rsid w:val="007C6402"/>
    <w:rsid w:val="007D03F0"/>
    <w:rsid w:val="007D1715"/>
    <w:rsid w:val="007D4E8F"/>
    <w:rsid w:val="007D6650"/>
    <w:rsid w:val="007E06F0"/>
    <w:rsid w:val="007E0D1F"/>
    <w:rsid w:val="007E2918"/>
    <w:rsid w:val="007E427D"/>
    <w:rsid w:val="007F114B"/>
    <w:rsid w:val="007F1BE6"/>
    <w:rsid w:val="007F47A9"/>
    <w:rsid w:val="00801049"/>
    <w:rsid w:val="00802430"/>
    <w:rsid w:val="00803954"/>
    <w:rsid w:val="00804E34"/>
    <w:rsid w:val="008102FF"/>
    <w:rsid w:val="00814A7A"/>
    <w:rsid w:val="0082577E"/>
    <w:rsid w:val="00826498"/>
    <w:rsid w:val="00826716"/>
    <w:rsid w:val="00826ABC"/>
    <w:rsid w:val="00834C4A"/>
    <w:rsid w:val="00835044"/>
    <w:rsid w:val="00835A46"/>
    <w:rsid w:val="00836248"/>
    <w:rsid w:val="0083744A"/>
    <w:rsid w:val="00843CEE"/>
    <w:rsid w:val="008543A9"/>
    <w:rsid w:val="008556D4"/>
    <w:rsid w:val="00855ABA"/>
    <w:rsid w:val="00855C18"/>
    <w:rsid w:val="008570C7"/>
    <w:rsid w:val="008578FE"/>
    <w:rsid w:val="00857F6E"/>
    <w:rsid w:val="00861C94"/>
    <w:rsid w:val="00861ED2"/>
    <w:rsid w:val="008658DE"/>
    <w:rsid w:val="00865DD2"/>
    <w:rsid w:val="008668BC"/>
    <w:rsid w:val="00867074"/>
    <w:rsid w:val="00870B37"/>
    <w:rsid w:val="00872A51"/>
    <w:rsid w:val="0087450C"/>
    <w:rsid w:val="00875AE2"/>
    <w:rsid w:val="00876917"/>
    <w:rsid w:val="00876B55"/>
    <w:rsid w:val="00876CEA"/>
    <w:rsid w:val="00877BD8"/>
    <w:rsid w:val="00882D72"/>
    <w:rsid w:val="00884264"/>
    <w:rsid w:val="00885540"/>
    <w:rsid w:val="008902FB"/>
    <w:rsid w:val="008905D5"/>
    <w:rsid w:val="008927AC"/>
    <w:rsid w:val="00893FFE"/>
    <w:rsid w:val="00894ADE"/>
    <w:rsid w:val="00895A3A"/>
    <w:rsid w:val="00896E31"/>
    <w:rsid w:val="0089714A"/>
    <w:rsid w:val="00897E5D"/>
    <w:rsid w:val="008A0268"/>
    <w:rsid w:val="008A1BD2"/>
    <w:rsid w:val="008A29BD"/>
    <w:rsid w:val="008A4D42"/>
    <w:rsid w:val="008A6962"/>
    <w:rsid w:val="008B2491"/>
    <w:rsid w:val="008B2BD9"/>
    <w:rsid w:val="008B3B8E"/>
    <w:rsid w:val="008B6996"/>
    <w:rsid w:val="008B70FA"/>
    <w:rsid w:val="008C1C2E"/>
    <w:rsid w:val="008C28B8"/>
    <w:rsid w:val="008C3804"/>
    <w:rsid w:val="008C6150"/>
    <w:rsid w:val="008C6221"/>
    <w:rsid w:val="008D076B"/>
    <w:rsid w:val="008D11A3"/>
    <w:rsid w:val="008D1400"/>
    <w:rsid w:val="008D327F"/>
    <w:rsid w:val="008D48A2"/>
    <w:rsid w:val="008E13E1"/>
    <w:rsid w:val="008E2141"/>
    <w:rsid w:val="008E2EBE"/>
    <w:rsid w:val="008E5B7C"/>
    <w:rsid w:val="008E66DB"/>
    <w:rsid w:val="008E7CCF"/>
    <w:rsid w:val="008F076D"/>
    <w:rsid w:val="00902DB7"/>
    <w:rsid w:val="00914B30"/>
    <w:rsid w:val="0091588F"/>
    <w:rsid w:val="009201B2"/>
    <w:rsid w:val="00922EAD"/>
    <w:rsid w:val="00923836"/>
    <w:rsid w:val="00924CA9"/>
    <w:rsid w:val="00927205"/>
    <w:rsid w:val="00930112"/>
    <w:rsid w:val="00933CA2"/>
    <w:rsid w:val="00934BFA"/>
    <w:rsid w:val="009367A9"/>
    <w:rsid w:val="00937104"/>
    <w:rsid w:val="00942C47"/>
    <w:rsid w:val="00942FEC"/>
    <w:rsid w:val="00947784"/>
    <w:rsid w:val="00954183"/>
    <w:rsid w:val="00954EEF"/>
    <w:rsid w:val="00955487"/>
    <w:rsid w:val="00955695"/>
    <w:rsid w:val="00955D1F"/>
    <w:rsid w:val="00955F0E"/>
    <w:rsid w:val="00957DD6"/>
    <w:rsid w:val="0096008A"/>
    <w:rsid w:val="00965F2A"/>
    <w:rsid w:val="009675F0"/>
    <w:rsid w:val="00973BDB"/>
    <w:rsid w:val="00975679"/>
    <w:rsid w:val="009774E5"/>
    <w:rsid w:val="00987ACA"/>
    <w:rsid w:val="00990448"/>
    <w:rsid w:val="00991BD7"/>
    <w:rsid w:val="00992388"/>
    <w:rsid w:val="00993A26"/>
    <w:rsid w:val="00994E9D"/>
    <w:rsid w:val="0099522E"/>
    <w:rsid w:val="009A06BE"/>
    <w:rsid w:val="009A4026"/>
    <w:rsid w:val="009A651E"/>
    <w:rsid w:val="009B3155"/>
    <w:rsid w:val="009B3C58"/>
    <w:rsid w:val="009B65AA"/>
    <w:rsid w:val="009B7665"/>
    <w:rsid w:val="009C3C62"/>
    <w:rsid w:val="009C523F"/>
    <w:rsid w:val="009C78CA"/>
    <w:rsid w:val="009D02EF"/>
    <w:rsid w:val="009D4CCE"/>
    <w:rsid w:val="009E49CE"/>
    <w:rsid w:val="009F05A3"/>
    <w:rsid w:val="009F7410"/>
    <w:rsid w:val="00A0131C"/>
    <w:rsid w:val="00A013EA"/>
    <w:rsid w:val="00A02EE0"/>
    <w:rsid w:val="00A0362F"/>
    <w:rsid w:val="00A04313"/>
    <w:rsid w:val="00A045CE"/>
    <w:rsid w:val="00A056DE"/>
    <w:rsid w:val="00A068A7"/>
    <w:rsid w:val="00A1011F"/>
    <w:rsid w:val="00A11B03"/>
    <w:rsid w:val="00A12EED"/>
    <w:rsid w:val="00A132C8"/>
    <w:rsid w:val="00A15307"/>
    <w:rsid w:val="00A16907"/>
    <w:rsid w:val="00A20F74"/>
    <w:rsid w:val="00A2643E"/>
    <w:rsid w:val="00A264BA"/>
    <w:rsid w:val="00A26B48"/>
    <w:rsid w:val="00A2765B"/>
    <w:rsid w:val="00A30664"/>
    <w:rsid w:val="00A355A3"/>
    <w:rsid w:val="00A44AD5"/>
    <w:rsid w:val="00A5019D"/>
    <w:rsid w:val="00A5046B"/>
    <w:rsid w:val="00A51CB6"/>
    <w:rsid w:val="00A526F8"/>
    <w:rsid w:val="00A52911"/>
    <w:rsid w:val="00A53C1A"/>
    <w:rsid w:val="00A53C91"/>
    <w:rsid w:val="00A54095"/>
    <w:rsid w:val="00A60365"/>
    <w:rsid w:val="00A623E1"/>
    <w:rsid w:val="00A63214"/>
    <w:rsid w:val="00A655DE"/>
    <w:rsid w:val="00A665CE"/>
    <w:rsid w:val="00A706BC"/>
    <w:rsid w:val="00A7737B"/>
    <w:rsid w:val="00A8046E"/>
    <w:rsid w:val="00A818D9"/>
    <w:rsid w:val="00A82227"/>
    <w:rsid w:val="00A82295"/>
    <w:rsid w:val="00A82C7D"/>
    <w:rsid w:val="00A82F11"/>
    <w:rsid w:val="00A85A2D"/>
    <w:rsid w:val="00A903F8"/>
    <w:rsid w:val="00AA2472"/>
    <w:rsid w:val="00AA29F1"/>
    <w:rsid w:val="00AA2D43"/>
    <w:rsid w:val="00AA3728"/>
    <w:rsid w:val="00AA3A4A"/>
    <w:rsid w:val="00AA6E54"/>
    <w:rsid w:val="00AA6F84"/>
    <w:rsid w:val="00AB167E"/>
    <w:rsid w:val="00AB41ED"/>
    <w:rsid w:val="00AB4B4C"/>
    <w:rsid w:val="00AB5C0F"/>
    <w:rsid w:val="00AC1623"/>
    <w:rsid w:val="00AC2A4F"/>
    <w:rsid w:val="00AC5049"/>
    <w:rsid w:val="00AC59BB"/>
    <w:rsid w:val="00AC5CD6"/>
    <w:rsid w:val="00AC7837"/>
    <w:rsid w:val="00AC7F75"/>
    <w:rsid w:val="00AD065F"/>
    <w:rsid w:val="00AD14CA"/>
    <w:rsid w:val="00AD1CB2"/>
    <w:rsid w:val="00AD1E50"/>
    <w:rsid w:val="00AD42ED"/>
    <w:rsid w:val="00AD5778"/>
    <w:rsid w:val="00AD6A5E"/>
    <w:rsid w:val="00AD7A74"/>
    <w:rsid w:val="00AE0688"/>
    <w:rsid w:val="00AE486A"/>
    <w:rsid w:val="00AE531E"/>
    <w:rsid w:val="00AE5F2F"/>
    <w:rsid w:val="00AF326E"/>
    <w:rsid w:val="00AF617E"/>
    <w:rsid w:val="00AF6B91"/>
    <w:rsid w:val="00B02322"/>
    <w:rsid w:val="00B05755"/>
    <w:rsid w:val="00B0759C"/>
    <w:rsid w:val="00B07E92"/>
    <w:rsid w:val="00B10168"/>
    <w:rsid w:val="00B11A61"/>
    <w:rsid w:val="00B1308D"/>
    <w:rsid w:val="00B15A9F"/>
    <w:rsid w:val="00B15CC5"/>
    <w:rsid w:val="00B2157F"/>
    <w:rsid w:val="00B234AB"/>
    <w:rsid w:val="00B235C8"/>
    <w:rsid w:val="00B23864"/>
    <w:rsid w:val="00B25A4A"/>
    <w:rsid w:val="00B26A13"/>
    <w:rsid w:val="00B303A7"/>
    <w:rsid w:val="00B31A76"/>
    <w:rsid w:val="00B33677"/>
    <w:rsid w:val="00B35CE0"/>
    <w:rsid w:val="00B455E9"/>
    <w:rsid w:val="00B462F6"/>
    <w:rsid w:val="00B46B79"/>
    <w:rsid w:val="00B474CB"/>
    <w:rsid w:val="00B51283"/>
    <w:rsid w:val="00B5239A"/>
    <w:rsid w:val="00B55F0F"/>
    <w:rsid w:val="00B63A73"/>
    <w:rsid w:val="00B72479"/>
    <w:rsid w:val="00B73CAB"/>
    <w:rsid w:val="00B74FBB"/>
    <w:rsid w:val="00B84E5C"/>
    <w:rsid w:val="00B87741"/>
    <w:rsid w:val="00B90341"/>
    <w:rsid w:val="00B91092"/>
    <w:rsid w:val="00B91BEE"/>
    <w:rsid w:val="00B94E5B"/>
    <w:rsid w:val="00BA3651"/>
    <w:rsid w:val="00BA5BEA"/>
    <w:rsid w:val="00BB0F18"/>
    <w:rsid w:val="00BB39EF"/>
    <w:rsid w:val="00BB59BB"/>
    <w:rsid w:val="00BB6106"/>
    <w:rsid w:val="00BC0461"/>
    <w:rsid w:val="00BC0564"/>
    <w:rsid w:val="00BD466B"/>
    <w:rsid w:val="00BD5A6A"/>
    <w:rsid w:val="00BD7D1F"/>
    <w:rsid w:val="00BE2F89"/>
    <w:rsid w:val="00BE5C63"/>
    <w:rsid w:val="00BE60C1"/>
    <w:rsid w:val="00BE66AF"/>
    <w:rsid w:val="00BE6B49"/>
    <w:rsid w:val="00BF038E"/>
    <w:rsid w:val="00BF0F74"/>
    <w:rsid w:val="00BF4FE8"/>
    <w:rsid w:val="00BF52A6"/>
    <w:rsid w:val="00C042D5"/>
    <w:rsid w:val="00C05A6B"/>
    <w:rsid w:val="00C062A1"/>
    <w:rsid w:val="00C0663E"/>
    <w:rsid w:val="00C1572A"/>
    <w:rsid w:val="00C16A91"/>
    <w:rsid w:val="00C16B7D"/>
    <w:rsid w:val="00C2496C"/>
    <w:rsid w:val="00C258FF"/>
    <w:rsid w:val="00C30DE3"/>
    <w:rsid w:val="00C33FB2"/>
    <w:rsid w:val="00C35F1A"/>
    <w:rsid w:val="00C36BE1"/>
    <w:rsid w:val="00C41424"/>
    <w:rsid w:val="00C43ED6"/>
    <w:rsid w:val="00C46682"/>
    <w:rsid w:val="00C47232"/>
    <w:rsid w:val="00C5035C"/>
    <w:rsid w:val="00C5078A"/>
    <w:rsid w:val="00C51542"/>
    <w:rsid w:val="00C5294C"/>
    <w:rsid w:val="00C54567"/>
    <w:rsid w:val="00C6239A"/>
    <w:rsid w:val="00C63E37"/>
    <w:rsid w:val="00C653EA"/>
    <w:rsid w:val="00C65E58"/>
    <w:rsid w:val="00C6750A"/>
    <w:rsid w:val="00C74952"/>
    <w:rsid w:val="00C76C77"/>
    <w:rsid w:val="00C80D1D"/>
    <w:rsid w:val="00C828D3"/>
    <w:rsid w:val="00C82A80"/>
    <w:rsid w:val="00C93227"/>
    <w:rsid w:val="00CA42D6"/>
    <w:rsid w:val="00CA4546"/>
    <w:rsid w:val="00CA569A"/>
    <w:rsid w:val="00CA7DAF"/>
    <w:rsid w:val="00CB0361"/>
    <w:rsid w:val="00CB0893"/>
    <w:rsid w:val="00CB1577"/>
    <w:rsid w:val="00CB48CE"/>
    <w:rsid w:val="00CC5135"/>
    <w:rsid w:val="00CC5396"/>
    <w:rsid w:val="00CC7285"/>
    <w:rsid w:val="00CD6067"/>
    <w:rsid w:val="00CD6D9D"/>
    <w:rsid w:val="00CE0A01"/>
    <w:rsid w:val="00CE152A"/>
    <w:rsid w:val="00CE1AE0"/>
    <w:rsid w:val="00CE1DF3"/>
    <w:rsid w:val="00CE253C"/>
    <w:rsid w:val="00CF02EB"/>
    <w:rsid w:val="00CF6AD3"/>
    <w:rsid w:val="00CF7502"/>
    <w:rsid w:val="00D03451"/>
    <w:rsid w:val="00D036E1"/>
    <w:rsid w:val="00D039AB"/>
    <w:rsid w:val="00D05858"/>
    <w:rsid w:val="00D1157C"/>
    <w:rsid w:val="00D137E5"/>
    <w:rsid w:val="00D20AF7"/>
    <w:rsid w:val="00D22482"/>
    <w:rsid w:val="00D26D06"/>
    <w:rsid w:val="00D275C1"/>
    <w:rsid w:val="00D27A76"/>
    <w:rsid w:val="00D3011F"/>
    <w:rsid w:val="00D308BA"/>
    <w:rsid w:val="00D32F55"/>
    <w:rsid w:val="00D35F4F"/>
    <w:rsid w:val="00D364BA"/>
    <w:rsid w:val="00D36A30"/>
    <w:rsid w:val="00D37565"/>
    <w:rsid w:val="00D41335"/>
    <w:rsid w:val="00D4147F"/>
    <w:rsid w:val="00D43507"/>
    <w:rsid w:val="00D45D25"/>
    <w:rsid w:val="00D46D24"/>
    <w:rsid w:val="00D51DE5"/>
    <w:rsid w:val="00D534E8"/>
    <w:rsid w:val="00D55629"/>
    <w:rsid w:val="00D60148"/>
    <w:rsid w:val="00D608A2"/>
    <w:rsid w:val="00D64BAE"/>
    <w:rsid w:val="00D70F57"/>
    <w:rsid w:val="00D71106"/>
    <w:rsid w:val="00D7132C"/>
    <w:rsid w:val="00D713D9"/>
    <w:rsid w:val="00D71C78"/>
    <w:rsid w:val="00D72F8B"/>
    <w:rsid w:val="00D73A1C"/>
    <w:rsid w:val="00D7605C"/>
    <w:rsid w:val="00D7672E"/>
    <w:rsid w:val="00D767B5"/>
    <w:rsid w:val="00D76DCB"/>
    <w:rsid w:val="00D773EC"/>
    <w:rsid w:val="00D80DC3"/>
    <w:rsid w:val="00D810AB"/>
    <w:rsid w:val="00D81D10"/>
    <w:rsid w:val="00D82C49"/>
    <w:rsid w:val="00D8480E"/>
    <w:rsid w:val="00D85983"/>
    <w:rsid w:val="00D86005"/>
    <w:rsid w:val="00D8748E"/>
    <w:rsid w:val="00D8795E"/>
    <w:rsid w:val="00D909DC"/>
    <w:rsid w:val="00D90B4B"/>
    <w:rsid w:val="00D90B81"/>
    <w:rsid w:val="00D91169"/>
    <w:rsid w:val="00DA0B88"/>
    <w:rsid w:val="00DA15DB"/>
    <w:rsid w:val="00DA190A"/>
    <w:rsid w:val="00DA1A61"/>
    <w:rsid w:val="00DA2AF2"/>
    <w:rsid w:val="00DA4A9D"/>
    <w:rsid w:val="00DB21E8"/>
    <w:rsid w:val="00DB2764"/>
    <w:rsid w:val="00DB3EE6"/>
    <w:rsid w:val="00DB4C0C"/>
    <w:rsid w:val="00DB57C1"/>
    <w:rsid w:val="00DC07CA"/>
    <w:rsid w:val="00DC3DC8"/>
    <w:rsid w:val="00DC7D96"/>
    <w:rsid w:val="00DD0E77"/>
    <w:rsid w:val="00DD261C"/>
    <w:rsid w:val="00DD28CD"/>
    <w:rsid w:val="00DD2BE9"/>
    <w:rsid w:val="00DD3942"/>
    <w:rsid w:val="00DD57AF"/>
    <w:rsid w:val="00DD69DC"/>
    <w:rsid w:val="00DD71E3"/>
    <w:rsid w:val="00DE00F1"/>
    <w:rsid w:val="00DE26D3"/>
    <w:rsid w:val="00DE6CA0"/>
    <w:rsid w:val="00DE729A"/>
    <w:rsid w:val="00DF6392"/>
    <w:rsid w:val="00DF6DA0"/>
    <w:rsid w:val="00E0129A"/>
    <w:rsid w:val="00E02EF8"/>
    <w:rsid w:val="00E079C4"/>
    <w:rsid w:val="00E07B95"/>
    <w:rsid w:val="00E104E5"/>
    <w:rsid w:val="00E10930"/>
    <w:rsid w:val="00E11649"/>
    <w:rsid w:val="00E119CA"/>
    <w:rsid w:val="00E1604A"/>
    <w:rsid w:val="00E16B0D"/>
    <w:rsid w:val="00E248D9"/>
    <w:rsid w:val="00E25F4A"/>
    <w:rsid w:val="00E32D2A"/>
    <w:rsid w:val="00E337E5"/>
    <w:rsid w:val="00E37450"/>
    <w:rsid w:val="00E42421"/>
    <w:rsid w:val="00E434A4"/>
    <w:rsid w:val="00E437EA"/>
    <w:rsid w:val="00E45CE7"/>
    <w:rsid w:val="00E501C2"/>
    <w:rsid w:val="00E54058"/>
    <w:rsid w:val="00E55B13"/>
    <w:rsid w:val="00E55D44"/>
    <w:rsid w:val="00E572DA"/>
    <w:rsid w:val="00E60209"/>
    <w:rsid w:val="00E608ED"/>
    <w:rsid w:val="00E61710"/>
    <w:rsid w:val="00E61F60"/>
    <w:rsid w:val="00E6301F"/>
    <w:rsid w:val="00E64F8C"/>
    <w:rsid w:val="00E6644C"/>
    <w:rsid w:val="00E67496"/>
    <w:rsid w:val="00E7212F"/>
    <w:rsid w:val="00E7424B"/>
    <w:rsid w:val="00E75249"/>
    <w:rsid w:val="00E77136"/>
    <w:rsid w:val="00E8021E"/>
    <w:rsid w:val="00E8739F"/>
    <w:rsid w:val="00E87C4E"/>
    <w:rsid w:val="00E92C67"/>
    <w:rsid w:val="00E93EFA"/>
    <w:rsid w:val="00E94DDA"/>
    <w:rsid w:val="00E96EDA"/>
    <w:rsid w:val="00E97B39"/>
    <w:rsid w:val="00E97C08"/>
    <w:rsid w:val="00EA3B58"/>
    <w:rsid w:val="00EA60C2"/>
    <w:rsid w:val="00EA68D7"/>
    <w:rsid w:val="00EA76A0"/>
    <w:rsid w:val="00EB2527"/>
    <w:rsid w:val="00EC01D7"/>
    <w:rsid w:val="00EC6B3F"/>
    <w:rsid w:val="00ED242F"/>
    <w:rsid w:val="00ED2802"/>
    <w:rsid w:val="00ED65B4"/>
    <w:rsid w:val="00ED6650"/>
    <w:rsid w:val="00ED6668"/>
    <w:rsid w:val="00ED70AB"/>
    <w:rsid w:val="00EE63E6"/>
    <w:rsid w:val="00EE6E96"/>
    <w:rsid w:val="00EE7952"/>
    <w:rsid w:val="00EF44D7"/>
    <w:rsid w:val="00EF46FF"/>
    <w:rsid w:val="00EF4AA8"/>
    <w:rsid w:val="00EF62F8"/>
    <w:rsid w:val="00EF631F"/>
    <w:rsid w:val="00F008FE"/>
    <w:rsid w:val="00F01EA4"/>
    <w:rsid w:val="00F02E5E"/>
    <w:rsid w:val="00F02F4E"/>
    <w:rsid w:val="00F03FB9"/>
    <w:rsid w:val="00F043DD"/>
    <w:rsid w:val="00F074DA"/>
    <w:rsid w:val="00F10F3B"/>
    <w:rsid w:val="00F20DC7"/>
    <w:rsid w:val="00F24701"/>
    <w:rsid w:val="00F24AB0"/>
    <w:rsid w:val="00F3386C"/>
    <w:rsid w:val="00F35054"/>
    <w:rsid w:val="00F36E48"/>
    <w:rsid w:val="00F409D2"/>
    <w:rsid w:val="00F412A2"/>
    <w:rsid w:val="00F432EF"/>
    <w:rsid w:val="00F43A65"/>
    <w:rsid w:val="00F4780F"/>
    <w:rsid w:val="00F47AF7"/>
    <w:rsid w:val="00F524C1"/>
    <w:rsid w:val="00F56791"/>
    <w:rsid w:val="00F56F4C"/>
    <w:rsid w:val="00F601AD"/>
    <w:rsid w:val="00F60C6D"/>
    <w:rsid w:val="00F6216B"/>
    <w:rsid w:val="00F6353E"/>
    <w:rsid w:val="00F66BDA"/>
    <w:rsid w:val="00F73B8B"/>
    <w:rsid w:val="00F75EA9"/>
    <w:rsid w:val="00F76CD7"/>
    <w:rsid w:val="00F812E3"/>
    <w:rsid w:val="00F8162D"/>
    <w:rsid w:val="00F853C8"/>
    <w:rsid w:val="00F9535D"/>
    <w:rsid w:val="00FA0249"/>
    <w:rsid w:val="00FA430C"/>
    <w:rsid w:val="00FB0B95"/>
    <w:rsid w:val="00FB1709"/>
    <w:rsid w:val="00FB29BF"/>
    <w:rsid w:val="00FB349C"/>
    <w:rsid w:val="00FB374B"/>
    <w:rsid w:val="00FB3BEC"/>
    <w:rsid w:val="00FB65A3"/>
    <w:rsid w:val="00FB73CA"/>
    <w:rsid w:val="00FC3161"/>
    <w:rsid w:val="00FC3762"/>
    <w:rsid w:val="00FC6A61"/>
    <w:rsid w:val="00FC7BBA"/>
    <w:rsid w:val="00FD13E7"/>
    <w:rsid w:val="00FD14D8"/>
    <w:rsid w:val="00FD3E5E"/>
    <w:rsid w:val="00FD4515"/>
    <w:rsid w:val="00FD45EA"/>
    <w:rsid w:val="00FD78D7"/>
    <w:rsid w:val="00FE1BD6"/>
    <w:rsid w:val="00FE35C3"/>
    <w:rsid w:val="00FE38FC"/>
    <w:rsid w:val="00FE4DE6"/>
    <w:rsid w:val="00FE666A"/>
    <w:rsid w:val="00FE703C"/>
    <w:rsid w:val="00FE76EF"/>
    <w:rsid w:val="00FF0266"/>
    <w:rsid w:val="00FF42DA"/>
    <w:rsid w:val="00FF6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7E21A284"/>
  <w15:docId w15:val="{C84E5666-FD1B-4A10-A599-FC5816FF3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570"/>
    <w:pPr>
      <w:spacing w:after="200" w:line="276" w:lineRule="auto"/>
    </w:pPr>
    <w:rPr>
      <w:lang w:val="en-GB"/>
    </w:rPr>
  </w:style>
  <w:style w:type="paragraph" w:styleId="Heading1">
    <w:name w:val="heading 1"/>
    <w:basedOn w:val="Normal"/>
    <w:next w:val="Normal"/>
    <w:link w:val="Heading1Char"/>
    <w:autoRedefine/>
    <w:uiPriority w:val="99"/>
    <w:qFormat/>
    <w:rsid w:val="00884264"/>
    <w:pPr>
      <w:shd w:val="clear" w:color="auto" w:fill="002060"/>
      <w:tabs>
        <w:tab w:val="left" w:pos="720"/>
        <w:tab w:val="left" w:pos="1440"/>
        <w:tab w:val="left" w:pos="2160"/>
        <w:tab w:val="left" w:pos="2880"/>
        <w:tab w:val="left" w:pos="4680"/>
        <w:tab w:val="left" w:pos="5400"/>
        <w:tab w:val="right" w:pos="9000"/>
      </w:tabs>
      <w:spacing w:after="0" w:line="240" w:lineRule="atLeast"/>
      <w:jc w:val="both"/>
      <w:outlineLvl w:val="0"/>
    </w:pPr>
    <w:rPr>
      <w:rFonts w:ascii="Arial" w:eastAsia="Times New Roman" w:hAnsi="Arial"/>
      <w:b/>
      <w:kern w:val="24"/>
      <w:sz w:val="24"/>
      <w:szCs w:val="20"/>
      <w:lang w:eastAsia="en-GB"/>
    </w:rPr>
  </w:style>
  <w:style w:type="paragraph" w:styleId="Heading2">
    <w:name w:val="heading 2"/>
    <w:basedOn w:val="Normal"/>
    <w:next w:val="Normal"/>
    <w:link w:val="Heading2Char"/>
    <w:semiHidden/>
    <w:unhideWhenUsed/>
    <w:qFormat/>
    <w:locked/>
    <w:rsid w:val="0044785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locked/>
    <w:rsid w:val="0044785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4264"/>
    <w:rPr>
      <w:rFonts w:ascii="Arial" w:hAnsi="Arial" w:cs="Times New Roman"/>
      <w:b/>
      <w:kern w:val="24"/>
      <w:sz w:val="20"/>
      <w:szCs w:val="20"/>
      <w:shd w:val="clear" w:color="auto" w:fill="002060"/>
      <w:lang w:eastAsia="en-GB"/>
    </w:rPr>
  </w:style>
  <w:style w:type="paragraph" w:styleId="BalloonText">
    <w:name w:val="Balloon Text"/>
    <w:basedOn w:val="Normal"/>
    <w:link w:val="BalloonTextChar"/>
    <w:uiPriority w:val="99"/>
    <w:semiHidden/>
    <w:rsid w:val="00F47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780F"/>
    <w:rPr>
      <w:rFonts w:ascii="Tahoma" w:hAnsi="Tahoma" w:cs="Tahoma"/>
      <w:sz w:val="16"/>
      <w:szCs w:val="16"/>
    </w:rPr>
  </w:style>
  <w:style w:type="table" w:styleId="TableGrid">
    <w:name w:val="Table Grid"/>
    <w:basedOn w:val="TableNormal"/>
    <w:uiPriority w:val="99"/>
    <w:rsid w:val="00F4780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6750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6750A"/>
    <w:rPr>
      <w:rFonts w:cs="Times New Roman"/>
    </w:rPr>
  </w:style>
  <w:style w:type="paragraph" w:styleId="Footer">
    <w:name w:val="footer"/>
    <w:basedOn w:val="Normal"/>
    <w:link w:val="FooterChar"/>
    <w:uiPriority w:val="99"/>
    <w:rsid w:val="00C6750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6750A"/>
    <w:rPr>
      <w:rFonts w:cs="Times New Roman"/>
    </w:rPr>
  </w:style>
  <w:style w:type="character" w:styleId="CommentReference">
    <w:name w:val="annotation reference"/>
    <w:basedOn w:val="DefaultParagraphFont"/>
    <w:uiPriority w:val="99"/>
    <w:semiHidden/>
    <w:rsid w:val="00875AE2"/>
    <w:rPr>
      <w:rFonts w:cs="Times New Roman"/>
      <w:sz w:val="16"/>
      <w:szCs w:val="16"/>
    </w:rPr>
  </w:style>
  <w:style w:type="paragraph" w:styleId="CommentText">
    <w:name w:val="annotation text"/>
    <w:basedOn w:val="Normal"/>
    <w:link w:val="CommentTextChar"/>
    <w:uiPriority w:val="99"/>
    <w:semiHidden/>
    <w:rsid w:val="00875AE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75AE2"/>
    <w:rPr>
      <w:rFonts w:cs="Times New Roman"/>
      <w:sz w:val="20"/>
      <w:szCs w:val="20"/>
    </w:rPr>
  </w:style>
  <w:style w:type="paragraph" w:styleId="CommentSubject">
    <w:name w:val="annotation subject"/>
    <w:basedOn w:val="CommentText"/>
    <w:next w:val="CommentText"/>
    <w:link w:val="CommentSubjectChar"/>
    <w:uiPriority w:val="99"/>
    <w:semiHidden/>
    <w:rsid w:val="00875AE2"/>
    <w:rPr>
      <w:b/>
      <w:bCs/>
    </w:rPr>
  </w:style>
  <w:style w:type="character" w:customStyle="1" w:styleId="CommentSubjectChar">
    <w:name w:val="Comment Subject Char"/>
    <w:basedOn w:val="CommentTextChar"/>
    <w:link w:val="CommentSubject"/>
    <w:uiPriority w:val="99"/>
    <w:semiHidden/>
    <w:locked/>
    <w:rsid w:val="00875AE2"/>
    <w:rPr>
      <w:rFonts w:cs="Times New Roman"/>
      <w:b/>
      <w:bCs/>
      <w:sz w:val="20"/>
      <w:szCs w:val="20"/>
    </w:rPr>
  </w:style>
  <w:style w:type="paragraph" w:styleId="FootnoteText">
    <w:name w:val="footnote text"/>
    <w:basedOn w:val="Normal"/>
    <w:link w:val="FootnoteTextChar"/>
    <w:uiPriority w:val="99"/>
    <w:semiHidden/>
    <w:rsid w:val="00AA2D43"/>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AA2D43"/>
    <w:rPr>
      <w:rFonts w:cs="Times New Roman"/>
      <w:sz w:val="20"/>
      <w:szCs w:val="20"/>
    </w:rPr>
  </w:style>
  <w:style w:type="character" w:styleId="FootnoteReference">
    <w:name w:val="footnote reference"/>
    <w:basedOn w:val="DefaultParagraphFont"/>
    <w:uiPriority w:val="99"/>
    <w:semiHidden/>
    <w:rsid w:val="00AA2D43"/>
    <w:rPr>
      <w:rFonts w:cs="Times New Roman"/>
      <w:vertAlign w:val="superscript"/>
    </w:rPr>
  </w:style>
  <w:style w:type="character" w:styleId="Hyperlink">
    <w:name w:val="Hyperlink"/>
    <w:basedOn w:val="DefaultParagraphFont"/>
    <w:uiPriority w:val="99"/>
    <w:unhideWhenUsed/>
    <w:rsid w:val="00450312"/>
    <w:rPr>
      <w:color w:val="0000FF" w:themeColor="hyperlink"/>
      <w:u w:val="single"/>
    </w:rPr>
  </w:style>
  <w:style w:type="table" w:customStyle="1" w:styleId="TableGrid1">
    <w:name w:val="Table Grid1"/>
    <w:basedOn w:val="TableNormal"/>
    <w:next w:val="TableGrid"/>
    <w:uiPriority w:val="59"/>
    <w:rsid w:val="00011D0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9388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655FA"/>
    <w:rPr>
      <w:color w:val="800080" w:themeColor="followedHyperlink"/>
      <w:u w:val="single"/>
    </w:rPr>
  </w:style>
  <w:style w:type="paragraph" w:styleId="ListParagraph">
    <w:name w:val="List Paragraph"/>
    <w:basedOn w:val="Normal"/>
    <w:uiPriority w:val="34"/>
    <w:qFormat/>
    <w:rsid w:val="00144DD7"/>
    <w:pPr>
      <w:ind w:left="720"/>
      <w:contextualSpacing/>
    </w:pPr>
  </w:style>
  <w:style w:type="paragraph" w:styleId="Revision">
    <w:name w:val="Revision"/>
    <w:hidden/>
    <w:uiPriority w:val="99"/>
    <w:semiHidden/>
    <w:rsid w:val="004A62BB"/>
    <w:rPr>
      <w:lang w:val="en-GB"/>
    </w:rPr>
  </w:style>
  <w:style w:type="paragraph" w:styleId="EndnoteText">
    <w:name w:val="endnote text"/>
    <w:basedOn w:val="Normal"/>
    <w:link w:val="EndnoteTextChar"/>
    <w:uiPriority w:val="99"/>
    <w:semiHidden/>
    <w:unhideWhenUsed/>
    <w:rsid w:val="008E214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E2141"/>
    <w:rPr>
      <w:sz w:val="20"/>
      <w:szCs w:val="20"/>
      <w:lang w:val="en-GB"/>
    </w:rPr>
  </w:style>
  <w:style w:type="character" w:styleId="EndnoteReference">
    <w:name w:val="endnote reference"/>
    <w:basedOn w:val="DefaultParagraphFont"/>
    <w:uiPriority w:val="99"/>
    <w:semiHidden/>
    <w:unhideWhenUsed/>
    <w:rsid w:val="008E2141"/>
    <w:rPr>
      <w:vertAlign w:val="superscript"/>
    </w:rPr>
  </w:style>
  <w:style w:type="paragraph" w:customStyle="1" w:styleId="msonormal0">
    <w:name w:val="msonormal"/>
    <w:basedOn w:val="Normal"/>
    <w:rsid w:val="007E291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65">
    <w:name w:val="xl65"/>
    <w:basedOn w:val="Normal"/>
    <w:rsid w:val="007E291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66">
    <w:name w:val="xl66"/>
    <w:basedOn w:val="Normal"/>
    <w:rsid w:val="007E291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67">
    <w:name w:val="xl67"/>
    <w:basedOn w:val="Normal"/>
    <w:rsid w:val="007E2918"/>
    <w:pPr>
      <w:spacing w:before="100" w:beforeAutospacing="1" w:after="100" w:afterAutospacing="1" w:line="240" w:lineRule="auto"/>
      <w:jc w:val="right"/>
    </w:pPr>
    <w:rPr>
      <w:rFonts w:ascii="Times New Roman" w:eastAsia="Times New Roman" w:hAnsi="Times New Roman"/>
      <w:sz w:val="24"/>
      <w:szCs w:val="24"/>
      <w:lang w:eastAsia="en-GB"/>
    </w:rPr>
  </w:style>
  <w:style w:type="paragraph" w:customStyle="1" w:styleId="xl68">
    <w:name w:val="xl68"/>
    <w:basedOn w:val="Normal"/>
    <w:rsid w:val="007E2918"/>
    <w:pPr>
      <w:shd w:val="clear" w:color="000000" w:fill="C0C0C0"/>
      <w:spacing w:before="100" w:beforeAutospacing="1" w:after="100" w:afterAutospacing="1" w:line="240" w:lineRule="auto"/>
    </w:pPr>
    <w:rPr>
      <w:rFonts w:eastAsia="Times New Roman"/>
      <w:b/>
      <w:bCs/>
      <w:sz w:val="20"/>
      <w:szCs w:val="20"/>
      <w:lang w:eastAsia="en-GB"/>
    </w:rPr>
  </w:style>
  <w:style w:type="paragraph" w:customStyle="1" w:styleId="xl69">
    <w:name w:val="xl69"/>
    <w:basedOn w:val="Normal"/>
    <w:rsid w:val="007E2918"/>
    <w:pPr>
      <w:shd w:val="clear" w:color="000000" w:fill="C0C0C0"/>
      <w:spacing w:before="100" w:beforeAutospacing="1" w:after="100" w:afterAutospacing="1" w:line="240" w:lineRule="auto"/>
      <w:jc w:val="right"/>
    </w:pPr>
    <w:rPr>
      <w:rFonts w:eastAsia="Times New Roman"/>
      <w:b/>
      <w:bCs/>
      <w:sz w:val="20"/>
      <w:szCs w:val="20"/>
      <w:lang w:eastAsia="en-GB"/>
    </w:rPr>
  </w:style>
  <w:style w:type="paragraph" w:customStyle="1" w:styleId="xl70">
    <w:name w:val="xl70"/>
    <w:basedOn w:val="Normal"/>
    <w:rsid w:val="007E2918"/>
    <w:pPr>
      <w:spacing w:before="100" w:beforeAutospacing="1" w:after="100" w:afterAutospacing="1" w:line="240" w:lineRule="auto"/>
    </w:pPr>
    <w:rPr>
      <w:rFonts w:eastAsia="Times New Roman"/>
      <w:sz w:val="20"/>
      <w:szCs w:val="20"/>
      <w:lang w:eastAsia="en-GB"/>
    </w:rPr>
  </w:style>
  <w:style w:type="paragraph" w:customStyle="1" w:styleId="xl71">
    <w:name w:val="xl71"/>
    <w:basedOn w:val="Normal"/>
    <w:rsid w:val="007E2918"/>
    <w:pPr>
      <w:shd w:val="clear" w:color="000000" w:fill="C0C0C0"/>
      <w:spacing w:before="100" w:beforeAutospacing="1" w:after="100" w:afterAutospacing="1" w:line="240" w:lineRule="auto"/>
      <w:jc w:val="center"/>
    </w:pPr>
    <w:rPr>
      <w:rFonts w:eastAsia="Times New Roman"/>
      <w:b/>
      <w:bCs/>
      <w:sz w:val="20"/>
      <w:szCs w:val="20"/>
      <w:lang w:eastAsia="en-GB"/>
    </w:rPr>
  </w:style>
  <w:style w:type="paragraph" w:customStyle="1" w:styleId="xl72">
    <w:name w:val="xl72"/>
    <w:basedOn w:val="Normal"/>
    <w:rsid w:val="007E2918"/>
    <w:pPr>
      <w:spacing w:before="100" w:beforeAutospacing="1" w:after="100" w:afterAutospacing="1" w:line="240" w:lineRule="auto"/>
      <w:jc w:val="center"/>
    </w:pPr>
    <w:rPr>
      <w:rFonts w:ascii="Times New Roman" w:eastAsia="Times New Roman" w:hAnsi="Times New Roman"/>
      <w:sz w:val="24"/>
      <w:szCs w:val="24"/>
      <w:lang w:eastAsia="en-GB"/>
    </w:rPr>
  </w:style>
  <w:style w:type="paragraph" w:customStyle="1" w:styleId="xl73">
    <w:name w:val="xl73"/>
    <w:basedOn w:val="Normal"/>
    <w:rsid w:val="007E2918"/>
    <w:pPr>
      <w:shd w:val="clear" w:color="000000" w:fill="C0C0C0"/>
      <w:spacing w:before="100" w:beforeAutospacing="1" w:after="100" w:afterAutospacing="1" w:line="240" w:lineRule="auto"/>
      <w:jc w:val="center"/>
    </w:pPr>
    <w:rPr>
      <w:rFonts w:eastAsia="Times New Roman"/>
      <w:b/>
      <w:bCs/>
      <w:sz w:val="20"/>
      <w:szCs w:val="20"/>
      <w:lang w:eastAsia="en-GB"/>
    </w:rPr>
  </w:style>
  <w:style w:type="paragraph" w:customStyle="1" w:styleId="xl74">
    <w:name w:val="xl74"/>
    <w:basedOn w:val="Normal"/>
    <w:rsid w:val="007E2918"/>
    <w:pPr>
      <w:spacing w:before="100" w:beforeAutospacing="1" w:after="100" w:afterAutospacing="1" w:line="240" w:lineRule="auto"/>
      <w:jc w:val="center"/>
    </w:pPr>
    <w:rPr>
      <w:rFonts w:ascii="Times New Roman" w:eastAsia="Times New Roman" w:hAnsi="Times New Roman"/>
      <w:sz w:val="24"/>
      <w:szCs w:val="24"/>
      <w:lang w:eastAsia="en-GB"/>
    </w:rPr>
  </w:style>
  <w:style w:type="paragraph" w:customStyle="1" w:styleId="xl75">
    <w:name w:val="xl75"/>
    <w:basedOn w:val="Normal"/>
    <w:rsid w:val="007E2918"/>
    <w:pPr>
      <w:spacing w:before="100" w:beforeAutospacing="1" w:after="100" w:afterAutospacing="1" w:line="240" w:lineRule="auto"/>
    </w:pPr>
    <w:rPr>
      <w:rFonts w:eastAsia="Times New Roman"/>
      <w:color w:val="FF0000"/>
      <w:sz w:val="24"/>
      <w:szCs w:val="24"/>
      <w:lang w:eastAsia="en-GB"/>
    </w:rPr>
  </w:style>
  <w:style w:type="paragraph" w:customStyle="1" w:styleId="xl76">
    <w:name w:val="xl76"/>
    <w:basedOn w:val="Normal"/>
    <w:rsid w:val="007E2918"/>
    <w:pPr>
      <w:shd w:val="clear" w:color="000000" w:fill="C0C0C0"/>
      <w:spacing w:before="100" w:beforeAutospacing="1" w:after="100" w:afterAutospacing="1" w:line="240" w:lineRule="auto"/>
      <w:jc w:val="right"/>
    </w:pPr>
    <w:rPr>
      <w:rFonts w:eastAsia="Times New Roman"/>
      <w:b/>
      <w:bCs/>
      <w:sz w:val="20"/>
      <w:szCs w:val="20"/>
      <w:lang w:eastAsia="en-GB"/>
    </w:rPr>
  </w:style>
  <w:style w:type="paragraph" w:customStyle="1" w:styleId="xl77">
    <w:name w:val="xl77"/>
    <w:basedOn w:val="Normal"/>
    <w:rsid w:val="007E2918"/>
    <w:pPr>
      <w:spacing w:before="100" w:beforeAutospacing="1" w:after="100" w:afterAutospacing="1" w:line="240" w:lineRule="auto"/>
      <w:jc w:val="right"/>
    </w:pPr>
    <w:rPr>
      <w:rFonts w:ascii="Times New Roman" w:eastAsia="Times New Roman" w:hAnsi="Times New Roman"/>
      <w:sz w:val="24"/>
      <w:szCs w:val="24"/>
      <w:lang w:eastAsia="en-GB"/>
    </w:rPr>
  </w:style>
  <w:style w:type="paragraph" w:customStyle="1" w:styleId="Default">
    <w:name w:val="Default"/>
    <w:rsid w:val="00A056DE"/>
    <w:pPr>
      <w:autoSpaceDE w:val="0"/>
      <w:autoSpaceDN w:val="0"/>
      <w:adjustRightInd w:val="0"/>
    </w:pPr>
    <w:rPr>
      <w:rFonts w:ascii="Arial" w:eastAsia="Times New Roman" w:hAnsi="Arial" w:cs="Arial"/>
      <w:color w:val="000000"/>
      <w:sz w:val="24"/>
      <w:szCs w:val="24"/>
      <w:lang w:val="en-GB" w:eastAsia="en-GB"/>
    </w:rPr>
  </w:style>
  <w:style w:type="paragraph" w:customStyle="1" w:styleId="m2714895508616620274msolistparagraph">
    <w:name w:val="m_2714895508616620274msolistparagraph"/>
    <w:basedOn w:val="Normal"/>
    <w:rsid w:val="000D5715"/>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7380932977284479740msolistparagraph">
    <w:name w:val="m_-7380932977284479740msolistparagraph"/>
    <w:basedOn w:val="Normal"/>
    <w:rsid w:val="00942FE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semiHidden/>
    <w:rsid w:val="0044785F"/>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semiHidden/>
    <w:rsid w:val="0044785F"/>
    <w:rPr>
      <w:rFonts w:asciiTheme="majorHAnsi" w:eastAsiaTheme="majorEastAsia" w:hAnsiTheme="majorHAnsi" w:cstheme="majorBidi"/>
      <w:color w:val="243F60"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4723">
      <w:bodyDiv w:val="1"/>
      <w:marLeft w:val="0"/>
      <w:marRight w:val="0"/>
      <w:marTop w:val="0"/>
      <w:marBottom w:val="0"/>
      <w:divBdr>
        <w:top w:val="none" w:sz="0" w:space="0" w:color="auto"/>
        <w:left w:val="none" w:sz="0" w:space="0" w:color="auto"/>
        <w:bottom w:val="none" w:sz="0" w:space="0" w:color="auto"/>
        <w:right w:val="none" w:sz="0" w:space="0" w:color="auto"/>
      </w:divBdr>
    </w:div>
    <w:div w:id="26411940">
      <w:bodyDiv w:val="1"/>
      <w:marLeft w:val="0"/>
      <w:marRight w:val="0"/>
      <w:marTop w:val="0"/>
      <w:marBottom w:val="0"/>
      <w:divBdr>
        <w:top w:val="none" w:sz="0" w:space="0" w:color="auto"/>
        <w:left w:val="none" w:sz="0" w:space="0" w:color="auto"/>
        <w:bottom w:val="none" w:sz="0" w:space="0" w:color="auto"/>
        <w:right w:val="none" w:sz="0" w:space="0" w:color="auto"/>
      </w:divBdr>
    </w:div>
    <w:div w:id="121582458">
      <w:bodyDiv w:val="1"/>
      <w:marLeft w:val="0"/>
      <w:marRight w:val="0"/>
      <w:marTop w:val="0"/>
      <w:marBottom w:val="0"/>
      <w:divBdr>
        <w:top w:val="none" w:sz="0" w:space="0" w:color="auto"/>
        <w:left w:val="none" w:sz="0" w:space="0" w:color="auto"/>
        <w:bottom w:val="none" w:sz="0" w:space="0" w:color="auto"/>
        <w:right w:val="none" w:sz="0" w:space="0" w:color="auto"/>
      </w:divBdr>
    </w:div>
    <w:div w:id="135801750">
      <w:bodyDiv w:val="1"/>
      <w:marLeft w:val="0"/>
      <w:marRight w:val="0"/>
      <w:marTop w:val="0"/>
      <w:marBottom w:val="0"/>
      <w:divBdr>
        <w:top w:val="none" w:sz="0" w:space="0" w:color="auto"/>
        <w:left w:val="none" w:sz="0" w:space="0" w:color="auto"/>
        <w:bottom w:val="none" w:sz="0" w:space="0" w:color="auto"/>
        <w:right w:val="none" w:sz="0" w:space="0" w:color="auto"/>
      </w:divBdr>
    </w:div>
    <w:div w:id="142045963">
      <w:bodyDiv w:val="1"/>
      <w:marLeft w:val="0"/>
      <w:marRight w:val="0"/>
      <w:marTop w:val="0"/>
      <w:marBottom w:val="0"/>
      <w:divBdr>
        <w:top w:val="none" w:sz="0" w:space="0" w:color="auto"/>
        <w:left w:val="none" w:sz="0" w:space="0" w:color="auto"/>
        <w:bottom w:val="none" w:sz="0" w:space="0" w:color="auto"/>
        <w:right w:val="none" w:sz="0" w:space="0" w:color="auto"/>
      </w:divBdr>
    </w:div>
    <w:div w:id="209806293">
      <w:bodyDiv w:val="1"/>
      <w:marLeft w:val="0"/>
      <w:marRight w:val="0"/>
      <w:marTop w:val="0"/>
      <w:marBottom w:val="0"/>
      <w:divBdr>
        <w:top w:val="none" w:sz="0" w:space="0" w:color="auto"/>
        <w:left w:val="none" w:sz="0" w:space="0" w:color="auto"/>
        <w:bottom w:val="none" w:sz="0" w:space="0" w:color="auto"/>
        <w:right w:val="none" w:sz="0" w:space="0" w:color="auto"/>
      </w:divBdr>
    </w:div>
    <w:div w:id="218177169">
      <w:bodyDiv w:val="1"/>
      <w:marLeft w:val="0"/>
      <w:marRight w:val="0"/>
      <w:marTop w:val="0"/>
      <w:marBottom w:val="0"/>
      <w:divBdr>
        <w:top w:val="none" w:sz="0" w:space="0" w:color="auto"/>
        <w:left w:val="none" w:sz="0" w:space="0" w:color="auto"/>
        <w:bottom w:val="none" w:sz="0" w:space="0" w:color="auto"/>
        <w:right w:val="none" w:sz="0" w:space="0" w:color="auto"/>
      </w:divBdr>
    </w:div>
    <w:div w:id="219102456">
      <w:bodyDiv w:val="1"/>
      <w:marLeft w:val="0"/>
      <w:marRight w:val="0"/>
      <w:marTop w:val="0"/>
      <w:marBottom w:val="0"/>
      <w:divBdr>
        <w:top w:val="none" w:sz="0" w:space="0" w:color="auto"/>
        <w:left w:val="none" w:sz="0" w:space="0" w:color="auto"/>
        <w:bottom w:val="none" w:sz="0" w:space="0" w:color="auto"/>
        <w:right w:val="none" w:sz="0" w:space="0" w:color="auto"/>
      </w:divBdr>
    </w:div>
    <w:div w:id="251552350">
      <w:bodyDiv w:val="1"/>
      <w:marLeft w:val="0"/>
      <w:marRight w:val="0"/>
      <w:marTop w:val="0"/>
      <w:marBottom w:val="0"/>
      <w:divBdr>
        <w:top w:val="none" w:sz="0" w:space="0" w:color="auto"/>
        <w:left w:val="none" w:sz="0" w:space="0" w:color="auto"/>
        <w:bottom w:val="none" w:sz="0" w:space="0" w:color="auto"/>
        <w:right w:val="none" w:sz="0" w:space="0" w:color="auto"/>
      </w:divBdr>
    </w:div>
    <w:div w:id="305476530">
      <w:bodyDiv w:val="1"/>
      <w:marLeft w:val="0"/>
      <w:marRight w:val="0"/>
      <w:marTop w:val="0"/>
      <w:marBottom w:val="0"/>
      <w:divBdr>
        <w:top w:val="none" w:sz="0" w:space="0" w:color="auto"/>
        <w:left w:val="none" w:sz="0" w:space="0" w:color="auto"/>
        <w:bottom w:val="none" w:sz="0" w:space="0" w:color="auto"/>
        <w:right w:val="none" w:sz="0" w:space="0" w:color="auto"/>
      </w:divBdr>
    </w:div>
    <w:div w:id="340200121">
      <w:bodyDiv w:val="1"/>
      <w:marLeft w:val="0"/>
      <w:marRight w:val="0"/>
      <w:marTop w:val="0"/>
      <w:marBottom w:val="0"/>
      <w:divBdr>
        <w:top w:val="none" w:sz="0" w:space="0" w:color="auto"/>
        <w:left w:val="none" w:sz="0" w:space="0" w:color="auto"/>
        <w:bottom w:val="none" w:sz="0" w:space="0" w:color="auto"/>
        <w:right w:val="none" w:sz="0" w:space="0" w:color="auto"/>
      </w:divBdr>
    </w:div>
    <w:div w:id="343943164">
      <w:bodyDiv w:val="1"/>
      <w:marLeft w:val="0"/>
      <w:marRight w:val="0"/>
      <w:marTop w:val="0"/>
      <w:marBottom w:val="0"/>
      <w:divBdr>
        <w:top w:val="none" w:sz="0" w:space="0" w:color="auto"/>
        <w:left w:val="none" w:sz="0" w:space="0" w:color="auto"/>
        <w:bottom w:val="none" w:sz="0" w:space="0" w:color="auto"/>
        <w:right w:val="none" w:sz="0" w:space="0" w:color="auto"/>
      </w:divBdr>
    </w:div>
    <w:div w:id="346712770">
      <w:bodyDiv w:val="1"/>
      <w:marLeft w:val="0"/>
      <w:marRight w:val="0"/>
      <w:marTop w:val="0"/>
      <w:marBottom w:val="0"/>
      <w:divBdr>
        <w:top w:val="none" w:sz="0" w:space="0" w:color="auto"/>
        <w:left w:val="none" w:sz="0" w:space="0" w:color="auto"/>
        <w:bottom w:val="none" w:sz="0" w:space="0" w:color="auto"/>
        <w:right w:val="none" w:sz="0" w:space="0" w:color="auto"/>
      </w:divBdr>
    </w:div>
    <w:div w:id="396050456">
      <w:bodyDiv w:val="1"/>
      <w:marLeft w:val="0"/>
      <w:marRight w:val="0"/>
      <w:marTop w:val="0"/>
      <w:marBottom w:val="0"/>
      <w:divBdr>
        <w:top w:val="none" w:sz="0" w:space="0" w:color="auto"/>
        <w:left w:val="none" w:sz="0" w:space="0" w:color="auto"/>
        <w:bottom w:val="none" w:sz="0" w:space="0" w:color="auto"/>
        <w:right w:val="none" w:sz="0" w:space="0" w:color="auto"/>
      </w:divBdr>
    </w:div>
    <w:div w:id="430514220">
      <w:bodyDiv w:val="1"/>
      <w:marLeft w:val="0"/>
      <w:marRight w:val="0"/>
      <w:marTop w:val="0"/>
      <w:marBottom w:val="0"/>
      <w:divBdr>
        <w:top w:val="none" w:sz="0" w:space="0" w:color="auto"/>
        <w:left w:val="none" w:sz="0" w:space="0" w:color="auto"/>
        <w:bottom w:val="none" w:sz="0" w:space="0" w:color="auto"/>
        <w:right w:val="none" w:sz="0" w:space="0" w:color="auto"/>
      </w:divBdr>
    </w:div>
    <w:div w:id="493689351">
      <w:bodyDiv w:val="1"/>
      <w:marLeft w:val="0"/>
      <w:marRight w:val="0"/>
      <w:marTop w:val="0"/>
      <w:marBottom w:val="0"/>
      <w:divBdr>
        <w:top w:val="none" w:sz="0" w:space="0" w:color="auto"/>
        <w:left w:val="none" w:sz="0" w:space="0" w:color="auto"/>
        <w:bottom w:val="none" w:sz="0" w:space="0" w:color="auto"/>
        <w:right w:val="none" w:sz="0" w:space="0" w:color="auto"/>
      </w:divBdr>
    </w:div>
    <w:div w:id="546382122">
      <w:bodyDiv w:val="1"/>
      <w:marLeft w:val="0"/>
      <w:marRight w:val="0"/>
      <w:marTop w:val="0"/>
      <w:marBottom w:val="0"/>
      <w:divBdr>
        <w:top w:val="none" w:sz="0" w:space="0" w:color="auto"/>
        <w:left w:val="none" w:sz="0" w:space="0" w:color="auto"/>
        <w:bottom w:val="none" w:sz="0" w:space="0" w:color="auto"/>
        <w:right w:val="none" w:sz="0" w:space="0" w:color="auto"/>
      </w:divBdr>
    </w:div>
    <w:div w:id="563613501">
      <w:bodyDiv w:val="1"/>
      <w:marLeft w:val="0"/>
      <w:marRight w:val="0"/>
      <w:marTop w:val="0"/>
      <w:marBottom w:val="0"/>
      <w:divBdr>
        <w:top w:val="none" w:sz="0" w:space="0" w:color="auto"/>
        <w:left w:val="none" w:sz="0" w:space="0" w:color="auto"/>
        <w:bottom w:val="none" w:sz="0" w:space="0" w:color="auto"/>
        <w:right w:val="none" w:sz="0" w:space="0" w:color="auto"/>
      </w:divBdr>
    </w:div>
    <w:div w:id="610867345">
      <w:bodyDiv w:val="1"/>
      <w:marLeft w:val="0"/>
      <w:marRight w:val="0"/>
      <w:marTop w:val="0"/>
      <w:marBottom w:val="0"/>
      <w:divBdr>
        <w:top w:val="none" w:sz="0" w:space="0" w:color="auto"/>
        <w:left w:val="none" w:sz="0" w:space="0" w:color="auto"/>
        <w:bottom w:val="none" w:sz="0" w:space="0" w:color="auto"/>
        <w:right w:val="none" w:sz="0" w:space="0" w:color="auto"/>
      </w:divBdr>
    </w:div>
    <w:div w:id="785780847">
      <w:bodyDiv w:val="1"/>
      <w:marLeft w:val="0"/>
      <w:marRight w:val="0"/>
      <w:marTop w:val="0"/>
      <w:marBottom w:val="0"/>
      <w:divBdr>
        <w:top w:val="none" w:sz="0" w:space="0" w:color="auto"/>
        <w:left w:val="none" w:sz="0" w:space="0" w:color="auto"/>
        <w:bottom w:val="none" w:sz="0" w:space="0" w:color="auto"/>
        <w:right w:val="none" w:sz="0" w:space="0" w:color="auto"/>
      </w:divBdr>
    </w:div>
    <w:div w:id="812718783">
      <w:bodyDiv w:val="1"/>
      <w:marLeft w:val="0"/>
      <w:marRight w:val="0"/>
      <w:marTop w:val="0"/>
      <w:marBottom w:val="0"/>
      <w:divBdr>
        <w:top w:val="none" w:sz="0" w:space="0" w:color="auto"/>
        <w:left w:val="none" w:sz="0" w:space="0" w:color="auto"/>
        <w:bottom w:val="none" w:sz="0" w:space="0" w:color="auto"/>
        <w:right w:val="none" w:sz="0" w:space="0" w:color="auto"/>
      </w:divBdr>
    </w:div>
    <w:div w:id="891883908">
      <w:bodyDiv w:val="1"/>
      <w:marLeft w:val="0"/>
      <w:marRight w:val="0"/>
      <w:marTop w:val="0"/>
      <w:marBottom w:val="0"/>
      <w:divBdr>
        <w:top w:val="none" w:sz="0" w:space="0" w:color="auto"/>
        <w:left w:val="none" w:sz="0" w:space="0" w:color="auto"/>
        <w:bottom w:val="none" w:sz="0" w:space="0" w:color="auto"/>
        <w:right w:val="none" w:sz="0" w:space="0" w:color="auto"/>
      </w:divBdr>
    </w:div>
    <w:div w:id="893469853">
      <w:bodyDiv w:val="1"/>
      <w:marLeft w:val="0"/>
      <w:marRight w:val="0"/>
      <w:marTop w:val="0"/>
      <w:marBottom w:val="0"/>
      <w:divBdr>
        <w:top w:val="none" w:sz="0" w:space="0" w:color="auto"/>
        <w:left w:val="none" w:sz="0" w:space="0" w:color="auto"/>
        <w:bottom w:val="none" w:sz="0" w:space="0" w:color="auto"/>
        <w:right w:val="none" w:sz="0" w:space="0" w:color="auto"/>
      </w:divBdr>
    </w:div>
    <w:div w:id="905719816">
      <w:bodyDiv w:val="1"/>
      <w:marLeft w:val="0"/>
      <w:marRight w:val="0"/>
      <w:marTop w:val="0"/>
      <w:marBottom w:val="0"/>
      <w:divBdr>
        <w:top w:val="none" w:sz="0" w:space="0" w:color="auto"/>
        <w:left w:val="none" w:sz="0" w:space="0" w:color="auto"/>
        <w:bottom w:val="none" w:sz="0" w:space="0" w:color="auto"/>
        <w:right w:val="none" w:sz="0" w:space="0" w:color="auto"/>
      </w:divBdr>
    </w:div>
    <w:div w:id="944069633">
      <w:bodyDiv w:val="1"/>
      <w:marLeft w:val="0"/>
      <w:marRight w:val="0"/>
      <w:marTop w:val="0"/>
      <w:marBottom w:val="0"/>
      <w:divBdr>
        <w:top w:val="none" w:sz="0" w:space="0" w:color="auto"/>
        <w:left w:val="none" w:sz="0" w:space="0" w:color="auto"/>
        <w:bottom w:val="none" w:sz="0" w:space="0" w:color="auto"/>
        <w:right w:val="none" w:sz="0" w:space="0" w:color="auto"/>
      </w:divBdr>
    </w:div>
    <w:div w:id="973409629">
      <w:bodyDiv w:val="1"/>
      <w:marLeft w:val="0"/>
      <w:marRight w:val="0"/>
      <w:marTop w:val="0"/>
      <w:marBottom w:val="0"/>
      <w:divBdr>
        <w:top w:val="none" w:sz="0" w:space="0" w:color="auto"/>
        <w:left w:val="none" w:sz="0" w:space="0" w:color="auto"/>
        <w:bottom w:val="none" w:sz="0" w:space="0" w:color="auto"/>
        <w:right w:val="none" w:sz="0" w:space="0" w:color="auto"/>
      </w:divBdr>
    </w:div>
    <w:div w:id="1007055295">
      <w:bodyDiv w:val="1"/>
      <w:marLeft w:val="0"/>
      <w:marRight w:val="0"/>
      <w:marTop w:val="0"/>
      <w:marBottom w:val="0"/>
      <w:divBdr>
        <w:top w:val="none" w:sz="0" w:space="0" w:color="auto"/>
        <w:left w:val="none" w:sz="0" w:space="0" w:color="auto"/>
        <w:bottom w:val="none" w:sz="0" w:space="0" w:color="auto"/>
        <w:right w:val="none" w:sz="0" w:space="0" w:color="auto"/>
      </w:divBdr>
    </w:div>
    <w:div w:id="1008485906">
      <w:bodyDiv w:val="1"/>
      <w:marLeft w:val="0"/>
      <w:marRight w:val="0"/>
      <w:marTop w:val="0"/>
      <w:marBottom w:val="0"/>
      <w:divBdr>
        <w:top w:val="none" w:sz="0" w:space="0" w:color="auto"/>
        <w:left w:val="none" w:sz="0" w:space="0" w:color="auto"/>
        <w:bottom w:val="none" w:sz="0" w:space="0" w:color="auto"/>
        <w:right w:val="none" w:sz="0" w:space="0" w:color="auto"/>
      </w:divBdr>
    </w:div>
    <w:div w:id="1096898407">
      <w:bodyDiv w:val="1"/>
      <w:marLeft w:val="0"/>
      <w:marRight w:val="0"/>
      <w:marTop w:val="0"/>
      <w:marBottom w:val="0"/>
      <w:divBdr>
        <w:top w:val="none" w:sz="0" w:space="0" w:color="auto"/>
        <w:left w:val="none" w:sz="0" w:space="0" w:color="auto"/>
        <w:bottom w:val="none" w:sz="0" w:space="0" w:color="auto"/>
        <w:right w:val="none" w:sz="0" w:space="0" w:color="auto"/>
      </w:divBdr>
    </w:div>
    <w:div w:id="1115245748">
      <w:bodyDiv w:val="1"/>
      <w:marLeft w:val="0"/>
      <w:marRight w:val="0"/>
      <w:marTop w:val="0"/>
      <w:marBottom w:val="0"/>
      <w:divBdr>
        <w:top w:val="none" w:sz="0" w:space="0" w:color="auto"/>
        <w:left w:val="none" w:sz="0" w:space="0" w:color="auto"/>
        <w:bottom w:val="none" w:sz="0" w:space="0" w:color="auto"/>
        <w:right w:val="none" w:sz="0" w:space="0" w:color="auto"/>
      </w:divBdr>
    </w:div>
    <w:div w:id="1313439511">
      <w:bodyDiv w:val="1"/>
      <w:marLeft w:val="0"/>
      <w:marRight w:val="0"/>
      <w:marTop w:val="0"/>
      <w:marBottom w:val="0"/>
      <w:divBdr>
        <w:top w:val="none" w:sz="0" w:space="0" w:color="auto"/>
        <w:left w:val="none" w:sz="0" w:space="0" w:color="auto"/>
        <w:bottom w:val="none" w:sz="0" w:space="0" w:color="auto"/>
        <w:right w:val="none" w:sz="0" w:space="0" w:color="auto"/>
      </w:divBdr>
    </w:div>
    <w:div w:id="1326398161">
      <w:bodyDiv w:val="1"/>
      <w:marLeft w:val="0"/>
      <w:marRight w:val="0"/>
      <w:marTop w:val="0"/>
      <w:marBottom w:val="0"/>
      <w:divBdr>
        <w:top w:val="none" w:sz="0" w:space="0" w:color="auto"/>
        <w:left w:val="none" w:sz="0" w:space="0" w:color="auto"/>
        <w:bottom w:val="none" w:sz="0" w:space="0" w:color="auto"/>
        <w:right w:val="none" w:sz="0" w:space="0" w:color="auto"/>
      </w:divBdr>
    </w:div>
    <w:div w:id="1340353227">
      <w:bodyDiv w:val="1"/>
      <w:marLeft w:val="0"/>
      <w:marRight w:val="0"/>
      <w:marTop w:val="0"/>
      <w:marBottom w:val="0"/>
      <w:divBdr>
        <w:top w:val="none" w:sz="0" w:space="0" w:color="auto"/>
        <w:left w:val="none" w:sz="0" w:space="0" w:color="auto"/>
        <w:bottom w:val="none" w:sz="0" w:space="0" w:color="auto"/>
        <w:right w:val="none" w:sz="0" w:space="0" w:color="auto"/>
      </w:divBdr>
    </w:div>
    <w:div w:id="1356425546">
      <w:bodyDiv w:val="1"/>
      <w:marLeft w:val="0"/>
      <w:marRight w:val="0"/>
      <w:marTop w:val="0"/>
      <w:marBottom w:val="0"/>
      <w:divBdr>
        <w:top w:val="none" w:sz="0" w:space="0" w:color="auto"/>
        <w:left w:val="none" w:sz="0" w:space="0" w:color="auto"/>
        <w:bottom w:val="none" w:sz="0" w:space="0" w:color="auto"/>
        <w:right w:val="none" w:sz="0" w:space="0" w:color="auto"/>
      </w:divBdr>
    </w:div>
    <w:div w:id="1379207970">
      <w:bodyDiv w:val="1"/>
      <w:marLeft w:val="0"/>
      <w:marRight w:val="0"/>
      <w:marTop w:val="0"/>
      <w:marBottom w:val="0"/>
      <w:divBdr>
        <w:top w:val="none" w:sz="0" w:space="0" w:color="auto"/>
        <w:left w:val="none" w:sz="0" w:space="0" w:color="auto"/>
        <w:bottom w:val="none" w:sz="0" w:space="0" w:color="auto"/>
        <w:right w:val="none" w:sz="0" w:space="0" w:color="auto"/>
      </w:divBdr>
    </w:div>
    <w:div w:id="1464226626">
      <w:bodyDiv w:val="1"/>
      <w:marLeft w:val="0"/>
      <w:marRight w:val="0"/>
      <w:marTop w:val="0"/>
      <w:marBottom w:val="0"/>
      <w:divBdr>
        <w:top w:val="none" w:sz="0" w:space="0" w:color="auto"/>
        <w:left w:val="none" w:sz="0" w:space="0" w:color="auto"/>
        <w:bottom w:val="none" w:sz="0" w:space="0" w:color="auto"/>
        <w:right w:val="none" w:sz="0" w:space="0" w:color="auto"/>
      </w:divBdr>
    </w:div>
    <w:div w:id="1494761323">
      <w:bodyDiv w:val="1"/>
      <w:marLeft w:val="0"/>
      <w:marRight w:val="0"/>
      <w:marTop w:val="0"/>
      <w:marBottom w:val="0"/>
      <w:divBdr>
        <w:top w:val="none" w:sz="0" w:space="0" w:color="auto"/>
        <w:left w:val="none" w:sz="0" w:space="0" w:color="auto"/>
        <w:bottom w:val="none" w:sz="0" w:space="0" w:color="auto"/>
        <w:right w:val="none" w:sz="0" w:space="0" w:color="auto"/>
      </w:divBdr>
    </w:div>
    <w:div w:id="1500119886">
      <w:bodyDiv w:val="1"/>
      <w:marLeft w:val="0"/>
      <w:marRight w:val="0"/>
      <w:marTop w:val="0"/>
      <w:marBottom w:val="0"/>
      <w:divBdr>
        <w:top w:val="none" w:sz="0" w:space="0" w:color="auto"/>
        <w:left w:val="none" w:sz="0" w:space="0" w:color="auto"/>
        <w:bottom w:val="none" w:sz="0" w:space="0" w:color="auto"/>
        <w:right w:val="none" w:sz="0" w:space="0" w:color="auto"/>
      </w:divBdr>
      <w:divsChild>
        <w:div w:id="2113433370">
          <w:marLeft w:val="0"/>
          <w:marRight w:val="0"/>
          <w:marTop w:val="0"/>
          <w:marBottom w:val="375"/>
          <w:divBdr>
            <w:top w:val="none" w:sz="0" w:space="0" w:color="auto"/>
            <w:left w:val="single" w:sz="6" w:space="0" w:color="E4E4E4"/>
            <w:bottom w:val="single" w:sz="6" w:space="0" w:color="E4E4E4"/>
            <w:right w:val="single" w:sz="6" w:space="0" w:color="E4E4E4"/>
          </w:divBdr>
          <w:divsChild>
            <w:div w:id="1433479761">
              <w:marLeft w:val="0"/>
              <w:marRight w:val="0"/>
              <w:marTop w:val="0"/>
              <w:marBottom w:val="0"/>
              <w:divBdr>
                <w:top w:val="none" w:sz="0" w:space="0" w:color="auto"/>
                <w:left w:val="none" w:sz="0" w:space="0" w:color="auto"/>
                <w:bottom w:val="none" w:sz="0" w:space="0" w:color="auto"/>
                <w:right w:val="none" w:sz="0" w:space="0" w:color="auto"/>
              </w:divBdr>
              <w:divsChild>
                <w:div w:id="176514981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84409">
      <w:bodyDiv w:val="1"/>
      <w:marLeft w:val="0"/>
      <w:marRight w:val="0"/>
      <w:marTop w:val="0"/>
      <w:marBottom w:val="0"/>
      <w:divBdr>
        <w:top w:val="none" w:sz="0" w:space="0" w:color="auto"/>
        <w:left w:val="none" w:sz="0" w:space="0" w:color="auto"/>
        <w:bottom w:val="none" w:sz="0" w:space="0" w:color="auto"/>
        <w:right w:val="none" w:sz="0" w:space="0" w:color="auto"/>
      </w:divBdr>
    </w:div>
    <w:div w:id="1626158870">
      <w:bodyDiv w:val="1"/>
      <w:marLeft w:val="0"/>
      <w:marRight w:val="0"/>
      <w:marTop w:val="0"/>
      <w:marBottom w:val="0"/>
      <w:divBdr>
        <w:top w:val="none" w:sz="0" w:space="0" w:color="auto"/>
        <w:left w:val="none" w:sz="0" w:space="0" w:color="auto"/>
        <w:bottom w:val="none" w:sz="0" w:space="0" w:color="auto"/>
        <w:right w:val="none" w:sz="0" w:space="0" w:color="auto"/>
      </w:divBdr>
    </w:div>
    <w:div w:id="1661814806">
      <w:bodyDiv w:val="1"/>
      <w:marLeft w:val="0"/>
      <w:marRight w:val="0"/>
      <w:marTop w:val="0"/>
      <w:marBottom w:val="0"/>
      <w:divBdr>
        <w:top w:val="none" w:sz="0" w:space="0" w:color="auto"/>
        <w:left w:val="none" w:sz="0" w:space="0" w:color="auto"/>
        <w:bottom w:val="none" w:sz="0" w:space="0" w:color="auto"/>
        <w:right w:val="none" w:sz="0" w:space="0" w:color="auto"/>
      </w:divBdr>
    </w:div>
    <w:div w:id="1668555318">
      <w:bodyDiv w:val="1"/>
      <w:marLeft w:val="0"/>
      <w:marRight w:val="0"/>
      <w:marTop w:val="0"/>
      <w:marBottom w:val="0"/>
      <w:divBdr>
        <w:top w:val="none" w:sz="0" w:space="0" w:color="auto"/>
        <w:left w:val="none" w:sz="0" w:space="0" w:color="auto"/>
        <w:bottom w:val="none" w:sz="0" w:space="0" w:color="auto"/>
        <w:right w:val="none" w:sz="0" w:space="0" w:color="auto"/>
      </w:divBdr>
    </w:div>
    <w:div w:id="1681081750">
      <w:bodyDiv w:val="1"/>
      <w:marLeft w:val="0"/>
      <w:marRight w:val="0"/>
      <w:marTop w:val="0"/>
      <w:marBottom w:val="0"/>
      <w:divBdr>
        <w:top w:val="none" w:sz="0" w:space="0" w:color="auto"/>
        <w:left w:val="none" w:sz="0" w:space="0" w:color="auto"/>
        <w:bottom w:val="none" w:sz="0" w:space="0" w:color="auto"/>
        <w:right w:val="none" w:sz="0" w:space="0" w:color="auto"/>
      </w:divBdr>
    </w:div>
    <w:div w:id="1685476644">
      <w:bodyDiv w:val="1"/>
      <w:marLeft w:val="0"/>
      <w:marRight w:val="0"/>
      <w:marTop w:val="0"/>
      <w:marBottom w:val="0"/>
      <w:divBdr>
        <w:top w:val="none" w:sz="0" w:space="0" w:color="auto"/>
        <w:left w:val="none" w:sz="0" w:space="0" w:color="auto"/>
        <w:bottom w:val="none" w:sz="0" w:space="0" w:color="auto"/>
        <w:right w:val="none" w:sz="0" w:space="0" w:color="auto"/>
      </w:divBdr>
    </w:div>
    <w:div w:id="1698769880">
      <w:bodyDiv w:val="1"/>
      <w:marLeft w:val="0"/>
      <w:marRight w:val="0"/>
      <w:marTop w:val="0"/>
      <w:marBottom w:val="0"/>
      <w:divBdr>
        <w:top w:val="none" w:sz="0" w:space="0" w:color="auto"/>
        <w:left w:val="none" w:sz="0" w:space="0" w:color="auto"/>
        <w:bottom w:val="none" w:sz="0" w:space="0" w:color="auto"/>
        <w:right w:val="none" w:sz="0" w:space="0" w:color="auto"/>
      </w:divBdr>
    </w:div>
    <w:div w:id="1753509372">
      <w:bodyDiv w:val="1"/>
      <w:marLeft w:val="0"/>
      <w:marRight w:val="0"/>
      <w:marTop w:val="0"/>
      <w:marBottom w:val="0"/>
      <w:divBdr>
        <w:top w:val="none" w:sz="0" w:space="0" w:color="auto"/>
        <w:left w:val="none" w:sz="0" w:space="0" w:color="auto"/>
        <w:bottom w:val="none" w:sz="0" w:space="0" w:color="auto"/>
        <w:right w:val="none" w:sz="0" w:space="0" w:color="auto"/>
      </w:divBdr>
    </w:div>
    <w:div w:id="1801650375">
      <w:bodyDiv w:val="1"/>
      <w:marLeft w:val="0"/>
      <w:marRight w:val="0"/>
      <w:marTop w:val="0"/>
      <w:marBottom w:val="0"/>
      <w:divBdr>
        <w:top w:val="none" w:sz="0" w:space="0" w:color="auto"/>
        <w:left w:val="none" w:sz="0" w:space="0" w:color="auto"/>
        <w:bottom w:val="none" w:sz="0" w:space="0" w:color="auto"/>
        <w:right w:val="none" w:sz="0" w:space="0" w:color="auto"/>
      </w:divBdr>
    </w:div>
    <w:div w:id="1846936965">
      <w:bodyDiv w:val="1"/>
      <w:marLeft w:val="0"/>
      <w:marRight w:val="0"/>
      <w:marTop w:val="0"/>
      <w:marBottom w:val="0"/>
      <w:divBdr>
        <w:top w:val="none" w:sz="0" w:space="0" w:color="auto"/>
        <w:left w:val="none" w:sz="0" w:space="0" w:color="auto"/>
        <w:bottom w:val="none" w:sz="0" w:space="0" w:color="auto"/>
        <w:right w:val="none" w:sz="0" w:space="0" w:color="auto"/>
      </w:divBdr>
    </w:div>
    <w:div w:id="1891571360">
      <w:bodyDiv w:val="1"/>
      <w:marLeft w:val="0"/>
      <w:marRight w:val="0"/>
      <w:marTop w:val="0"/>
      <w:marBottom w:val="0"/>
      <w:divBdr>
        <w:top w:val="none" w:sz="0" w:space="0" w:color="auto"/>
        <w:left w:val="none" w:sz="0" w:space="0" w:color="auto"/>
        <w:bottom w:val="none" w:sz="0" w:space="0" w:color="auto"/>
        <w:right w:val="none" w:sz="0" w:space="0" w:color="auto"/>
      </w:divBdr>
    </w:div>
    <w:div w:id="1913856807">
      <w:bodyDiv w:val="1"/>
      <w:marLeft w:val="0"/>
      <w:marRight w:val="0"/>
      <w:marTop w:val="0"/>
      <w:marBottom w:val="0"/>
      <w:divBdr>
        <w:top w:val="none" w:sz="0" w:space="0" w:color="auto"/>
        <w:left w:val="none" w:sz="0" w:space="0" w:color="auto"/>
        <w:bottom w:val="none" w:sz="0" w:space="0" w:color="auto"/>
        <w:right w:val="none" w:sz="0" w:space="0" w:color="auto"/>
      </w:divBdr>
    </w:div>
    <w:div w:id="1932623063">
      <w:bodyDiv w:val="1"/>
      <w:marLeft w:val="0"/>
      <w:marRight w:val="0"/>
      <w:marTop w:val="0"/>
      <w:marBottom w:val="0"/>
      <w:divBdr>
        <w:top w:val="none" w:sz="0" w:space="0" w:color="auto"/>
        <w:left w:val="none" w:sz="0" w:space="0" w:color="auto"/>
        <w:bottom w:val="none" w:sz="0" w:space="0" w:color="auto"/>
        <w:right w:val="none" w:sz="0" w:space="0" w:color="auto"/>
      </w:divBdr>
    </w:div>
    <w:div w:id="2073235074">
      <w:bodyDiv w:val="1"/>
      <w:marLeft w:val="0"/>
      <w:marRight w:val="0"/>
      <w:marTop w:val="0"/>
      <w:marBottom w:val="0"/>
      <w:divBdr>
        <w:top w:val="none" w:sz="0" w:space="0" w:color="auto"/>
        <w:left w:val="none" w:sz="0" w:space="0" w:color="auto"/>
        <w:bottom w:val="none" w:sz="0" w:space="0" w:color="auto"/>
        <w:right w:val="none" w:sz="0" w:space="0" w:color="auto"/>
      </w:divBdr>
    </w:div>
    <w:div w:id="2100757750">
      <w:bodyDiv w:val="1"/>
      <w:marLeft w:val="0"/>
      <w:marRight w:val="0"/>
      <w:marTop w:val="0"/>
      <w:marBottom w:val="0"/>
      <w:divBdr>
        <w:top w:val="none" w:sz="0" w:space="0" w:color="auto"/>
        <w:left w:val="none" w:sz="0" w:space="0" w:color="auto"/>
        <w:bottom w:val="none" w:sz="0" w:space="0" w:color="auto"/>
        <w:right w:val="none" w:sz="0" w:space="0" w:color="auto"/>
      </w:divBdr>
    </w:div>
    <w:div w:id="210445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qualities@sepa.org.uk"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epa.g2b.info" TargetMode="External"/><Relationship Id="rId2" Type="http://schemas.openxmlformats.org/officeDocument/2006/relationships/numbering" Target="numbering.xml"/><Relationship Id="rId16" Type="http://schemas.openxmlformats.org/officeDocument/2006/relationships/hyperlink" Target="https://www.publiccontractsscotland.gov.uk"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epa.org.uk" TargetMode="External"/><Relationship Id="rId10" Type="http://schemas.openxmlformats.org/officeDocument/2006/relationships/image" Target="media/image20.png"/><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contactscotland-bsl.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78B1A-2568-47DE-B5D3-2ACF1DC0E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3219</Words>
  <Characters>20596</Characters>
  <Application>Microsoft Office Word</Application>
  <DocSecurity>4</DocSecurity>
  <Lines>171</Lines>
  <Paragraphs>47</Paragraphs>
  <ScaleCrop>false</ScaleCrop>
  <HeadingPairs>
    <vt:vector size="2" baseType="variant">
      <vt:variant>
        <vt:lpstr>Title</vt:lpstr>
      </vt:variant>
      <vt:variant>
        <vt:i4>1</vt:i4>
      </vt:variant>
    </vt:vector>
  </HeadingPairs>
  <TitlesOfParts>
    <vt:vector size="1" baseType="lpstr">
      <vt:lpstr/>
    </vt:vector>
  </TitlesOfParts>
  <Company>SEPA</Company>
  <LinksUpToDate>false</LinksUpToDate>
  <CharactersWithSpaces>23768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Doody, Hilary</dc:creator>
  <cp:lastModifiedBy>Caron, Natasha</cp:lastModifiedBy>
  <cp:revision>2</cp:revision>
  <cp:lastPrinted>2017-06-23T12:46:00Z</cp:lastPrinted>
  <dcterms:created xsi:type="dcterms:W3CDTF">2020-09-07T13:34:00Z</dcterms:created>
  <dcterms:modified xsi:type="dcterms:W3CDTF">2020-09-07T13:34:00Z</dcterms:modified>
</cp:coreProperties>
</file>