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FE8" w:rsidRPr="00395D2C" w:rsidRDefault="009F1714">
      <w:pPr>
        <w:rPr>
          <w:sz w:val="20"/>
        </w:rPr>
      </w:pPr>
      <w:r w:rsidRPr="00395D2C">
        <w:rPr>
          <w:rFonts w:eastAsiaTheme="majorEastAsia" w:cstheme="majorBidi"/>
          <w:b/>
          <w:sz w:val="28"/>
          <w:szCs w:val="32"/>
        </w:rPr>
        <w:t xml:space="preserve">2019 </w:t>
      </w:r>
      <w:r w:rsidR="00F316BC" w:rsidRPr="00395D2C">
        <w:rPr>
          <w:rFonts w:eastAsiaTheme="majorEastAsia" w:cstheme="majorBidi"/>
          <w:b/>
          <w:sz w:val="28"/>
          <w:szCs w:val="32"/>
        </w:rPr>
        <w:t xml:space="preserve">Pollutant </w:t>
      </w:r>
      <w:r w:rsidR="005F3A57" w:rsidRPr="00395D2C">
        <w:rPr>
          <w:rFonts w:eastAsiaTheme="majorEastAsia" w:cstheme="majorBidi"/>
          <w:b/>
          <w:sz w:val="28"/>
          <w:szCs w:val="32"/>
        </w:rPr>
        <w:t>emissions</w:t>
      </w:r>
      <w:r w:rsidR="0050279C" w:rsidRPr="00395D2C">
        <w:rPr>
          <w:rFonts w:eastAsiaTheme="majorEastAsia" w:cstheme="majorBidi"/>
          <w:b/>
          <w:sz w:val="28"/>
          <w:szCs w:val="32"/>
        </w:rPr>
        <w:t xml:space="preserve"> </w:t>
      </w:r>
      <w:r w:rsidRPr="00395D2C">
        <w:rPr>
          <w:rFonts w:eastAsiaTheme="majorEastAsia" w:cstheme="majorBidi"/>
          <w:b/>
          <w:sz w:val="28"/>
          <w:szCs w:val="32"/>
        </w:rPr>
        <w:t>and waste transfers</w:t>
      </w:r>
      <w:r w:rsidR="00F316BC" w:rsidRPr="00395D2C">
        <w:rPr>
          <w:rFonts w:eastAsiaTheme="majorEastAsia" w:cstheme="majorBidi"/>
          <w:b/>
          <w:sz w:val="28"/>
          <w:szCs w:val="32"/>
        </w:rPr>
        <w:t xml:space="preserve"> from SEPA regulated industrial sites</w:t>
      </w:r>
    </w:p>
    <w:p w:rsidR="00AB015A" w:rsidRPr="004F5BB0" w:rsidRDefault="00807BA3" w:rsidP="00B0253D">
      <w:r w:rsidRPr="004F5BB0">
        <w:t>This</w:t>
      </w:r>
      <w:r w:rsidR="00B0253D" w:rsidRPr="004F5BB0">
        <w:t xml:space="preserve"> </w:t>
      </w:r>
      <w:r w:rsidR="00BA0432">
        <w:t xml:space="preserve">statistical </w:t>
      </w:r>
      <w:r w:rsidR="00B0253D" w:rsidRPr="004F5BB0">
        <w:t>release shows</w:t>
      </w:r>
      <w:r w:rsidRPr="004F5BB0">
        <w:t xml:space="preserve"> </w:t>
      </w:r>
      <w:r w:rsidR="00A01EE2">
        <w:t xml:space="preserve">emissions </w:t>
      </w:r>
      <w:r w:rsidR="00657B93" w:rsidRPr="004F5BB0">
        <w:t xml:space="preserve">of pollutants to air and water </w:t>
      </w:r>
      <w:r w:rsidRPr="004F5BB0">
        <w:t xml:space="preserve">and </w:t>
      </w:r>
      <w:r w:rsidR="00B0253D" w:rsidRPr="004F5BB0">
        <w:t xml:space="preserve">off site </w:t>
      </w:r>
      <w:r w:rsidRPr="004F5BB0">
        <w:t>waste transfers reported by opera</w:t>
      </w:r>
      <w:r w:rsidR="00B0253D" w:rsidRPr="004F5BB0">
        <w:t>tors of industrial sites under the Scottish Pollutant Release Inventory (S</w:t>
      </w:r>
      <w:r w:rsidRPr="004F5BB0">
        <w:t>PRI</w:t>
      </w:r>
      <w:r w:rsidR="00B0253D" w:rsidRPr="004F5BB0">
        <w:t>)</w:t>
      </w:r>
      <w:r w:rsidRPr="004F5BB0">
        <w:t xml:space="preserve"> for </w:t>
      </w:r>
      <w:r w:rsidR="00B0253D" w:rsidRPr="004F5BB0">
        <w:t xml:space="preserve">the </w:t>
      </w:r>
      <w:r w:rsidRPr="004F5BB0">
        <w:t>2019</w:t>
      </w:r>
      <w:r w:rsidR="00B0253D" w:rsidRPr="004F5BB0">
        <w:t xml:space="preserve"> calendar year</w:t>
      </w:r>
      <w:r w:rsidRPr="004F5BB0">
        <w:t xml:space="preserve">. Some historic data is included for comparison. Information </w:t>
      </w:r>
      <w:r w:rsidR="00B0253D" w:rsidRPr="004F5BB0">
        <w:t xml:space="preserve">about the SPRI and </w:t>
      </w:r>
      <w:r w:rsidRPr="004F5BB0">
        <w:t>on the methodolo</w:t>
      </w:r>
      <w:r w:rsidR="00B0253D" w:rsidRPr="004F5BB0">
        <w:t>g</w:t>
      </w:r>
      <w:r w:rsidR="00C307CA" w:rsidRPr="004F5BB0">
        <w:t>y used to prepare this release is provided in sections two and three of this document.</w:t>
      </w:r>
    </w:p>
    <w:p w:rsidR="00B0253D" w:rsidRPr="004F5BB0" w:rsidRDefault="00C307CA" w:rsidP="00CD3B23">
      <w:r w:rsidRPr="004F5BB0">
        <w:t>Complete SPRI data is available in two places:</w:t>
      </w:r>
    </w:p>
    <w:p w:rsidR="00C307CA" w:rsidRPr="004F5BB0" w:rsidRDefault="00C307CA" w:rsidP="00CD3B23">
      <w:pPr>
        <w:rPr>
          <w:rStyle w:val="Hyperlink"/>
        </w:rPr>
      </w:pPr>
      <w:r w:rsidRPr="004F5BB0">
        <w:t xml:space="preserve">Within the SEPA website’s SPRI pages at: </w:t>
      </w:r>
      <w:r w:rsidR="004F5BB0">
        <w:fldChar w:fldCharType="begin"/>
      </w:r>
      <w:r w:rsidR="000651EE">
        <w:instrText>HYPERLINK "https://www2.sepa.org.uk/spripa/Search/Options.aspx"</w:instrText>
      </w:r>
      <w:r w:rsidR="004F5BB0">
        <w:fldChar w:fldCharType="separate"/>
      </w:r>
      <w:r w:rsidRPr="004F5BB0">
        <w:rPr>
          <w:rStyle w:val="Hyperlink"/>
        </w:rPr>
        <w:t xml:space="preserve">https://www2.sepa.org.uk/spripa/Search/Options.aspx </w:t>
      </w:r>
    </w:p>
    <w:p w:rsidR="00C307CA" w:rsidRPr="004F5BB0" w:rsidRDefault="004F5BB0" w:rsidP="003665DD">
      <w:pPr>
        <w:ind w:left="720"/>
      </w:pPr>
      <w:r>
        <w:fldChar w:fldCharType="end"/>
      </w:r>
      <w:r w:rsidR="00C307CA" w:rsidRPr="004F5BB0">
        <w:t>This</w:t>
      </w:r>
      <w:r w:rsidR="00A1113A" w:rsidRPr="004F5BB0">
        <w:t xml:space="preserve"> </w:t>
      </w:r>
      <w:r w:rsidR="003665DD" w:rsidRPr="004F5BB0">
        <w:t xml:space="preserve">tool </w:t>
      </w:r>
      <w:r w:rsidR="00A1113A" w:rsidRPr="004F5BB0">
        <w:t>allows you to search for individual site data in various ways. The full public content of each site’s return can be downloaded as a pdf. Some summary data can be downloaded as csv files. All data provided here is as live on the SPRI database, and it will update through the year where data corrections are made.</w:t>
      </w:r>
    </w:p>
    <w:p w:rsidR="00B0253D" w:rsidRPr="000651EE" w:rsidRDefault="00C307CA" w:rsidP="00CD3B23">
      <w:pPr>
        <w:rPr>
          <w:rStyle w:val="Hyperlink"/>
        </w:rPr>
      </w:pPr>
      <w:r w:rsidRPr="004F5BB0">
        <w:t xml:space="preserve">On Scotland’s Environment Web at: </w:t>
      </w:r>
      <w:r w:rsidR="000651EE">
        <w:fldChar w:fldCharType="begin"/>
      </w:r>
      <w:r w:rsidR="000651EE">
        <w:instrText xml:space="preserve"> HYPERLINK "https://www.environment.gov.scot/data/data-analysis/scottish-pollution-release-inventory/" </w:instrText>
      </w:r>
      <w:r w:rsidR="000651EE">
        <w:fldChar w:fldCharType="separate"/>
      </w:r>
      <w:r w:rsidRPr="000651EE">
        <w:rPr>
          <w:rStyle w:val="Hyperlink"/>
        </w:rPr>
        <w:t xml:space="preserve">https://www.environment.gov.scot/data/data-analysis/scottish-pollution-release-inventory/ </w:t>
      </w:r>
    </w:p>
    <w:p w:rsidR="00CE08B2" w:rsidRDefault="000651EE" w:rsidP="00CE08B2">
      <w:pPr>
        <w:ind w:left="720"/>
      </w:pPr>
      <w:r>
        <w:fldChar w:fldCharType="end"/>
      </w:r>
      <w:r w:rsidR="00A1113A" w:rsidRPr="004F5BB0">
        <w:t xml:space="preserve">This is a data analysis tool which allows you to view summarised information </w:t>
      </w:r>
      <w:r w:rsidR="003665DD" w:rsidRPr="004F5BB0">
        <w:t xml:space="preserve">by industry sector for pollutants and waste transfers. Data can be downloaded in bulk, including at a site level. It is updated annually when the previous year’s data is published. </w:t>
      </w:r>
    </w:p>
    <w:sdt>
      <w:sdtPr>
        <w:rPr>
          <w:rFonts w:asciiTheme="minorHAnsi" w:eastAsiaTheme="minorHAnsi" w:hAnsiTheme="minorHAnsi" w:cstheme="minorBidi"/>
          <w:color w:val="auto"/>
          <w:sz w:val="22"/>
          <w:szCs w:val="22"/>
          <w:lang w:val="en-GB"/>
        </w:rPr>
        <w:id w:val="-1723054333"/>
        <w:docPartObj>
          <w:docPartGallery w:val="Table of Contents"/>
          <w:docPartUnique/>
        </w:docPartObj>
      </w:sdtPr>
      <w:sdtEndPr>
        <w:rPr>
          <w:b/>
          <w:bCs/>
          <w:noProof/>
        </w:rPr>
      </w:sdtEndPr>
      <w:sdtContent>
        <w:p w:rsidR="00CE08B2" w:rsidRPr="00CE08B2" w:rsidRDefault="00CE08B2" w:rsidP="00CE08B2">
          <w:pPr>
            <w:pStyle w:val="TOCHeading"/>
            <w:rPr>
              <w:rFonts w:ascii="Calibri" w:hAnsi="Calibri"/>
              <w:b/>
              <w:color w:val="auto"/>
              <w:sz w:val="24"/>
            </w:rPr>
          </w:pPr>
          <w:r w:rsidRPr="00CE08B2">
            <w:rPr>
              <w:rFonts w:ascii="Calibri" w:hAnsi="Calibri"/>
              <w:b/>
              <w:color w:val="auto"/>
              <w:sz w:val="24"/>
            </w:rPr>
            <w:t>Contents</w:t>
          </w:r>
        </w:p>
        <w:p w:rsidR="006F4012" w:rsidRDefault="00CE08B2">
          <w:pPr>
            <w:pStyle w:val="TOC2"/>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51591143" w:history="1">
            <w:r w:rsidR="006F4012" w:rsidRPr="008A3BEA">
              <w:rPr>
                <w:rStyle w:val="Hyperlink"/>
                <w:noProof/>
              </w:rPr>
              <w:t>1. The statistics</w:t>
            </w:r>
            <w:r w:rsidR="006F4012">
              <w:rPr>
                <w:noProof/>
                <w:webHidden/>
              </w:rPr>
              <w:tab/>
            </w:r>
            <w:r w:rsidR="006F4012">
              <w:rPr>
                <w:noProof/>
                <w:webHidden/>
              </w:rPr>
              <w:fldChar w:fldCharType="begin"/>
            </w:r>
            <w:r w:rsidR="006F4012">
              <w:rPr>
                <w:noProof/>
                <w:webHidden/>
              </w:rPr>
              <w:instrText xml:space="preserve"> PAGEREF _Toc51591143 \h </w:instrText>
            </w:r>
            <w:r w:rsidR="006F4012">
              <w:rPr>
                <w:noProof/>
                <w:webHidden/>
              </w:rPr>
            </w:r>
            <w:r w:rsidR="006F4012">
              <w:rPr>
                <w:noProof/>
                <w:webHidden/>
              </w:rPr>
              <w:fldChar w:fldCharType="separate"/>
            </w:r>
            <w:r w:rsidR="007C0887">
              <w:rPr>
                <w:noProof/>
                <w:webHidden/>
              </w:rPr>
              <w:t>2</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44" w:history="1">
            <w:r w:rsidR="006F4012" w:rsidRPr="008A3BEA">
              <w:rPr>
                <w:rStyle w:val="Hyperlink"/>
                <w:noProof/>
              </w:rPr>
              <w:t>1.1 Key information for 2019</w:t>
            </w:r>
            <w:r w:rsidR="006F4012">
              <w:rPr>
                <w:noProof/>
                <w:webHidden/>
              </w:rPr>
              <w:tab/>
            </w:r>
            <w:r w:rsidR="006F4012">
              <w:rPr>
                <w:noProof/>
                <w:webHidden/>
              </w:rPr>
              <w:fldChar w:fldCharType="begin"/>
            </w:r>
            <w:r w:rsidR="006F4012">
              <w:rPr>
                <w:noProof/>
                <w:webHidden/>
              </w:rPr>
              <w:instrText xml:space="preserve"> PAGEREF _Toc51591144 \h </w:instrText>
            </w:r>
            <w:r w:rsidR="006F4012">
              <w:rPr>
                <w:noProof/>
                <w:webHidden/>
              </w:rPr>
            </w:r>
            <w:r w:rsidR="006F4012">
              <w:rPr>
                <w:noProof/>
                <w:webHidden/>
              </w:rPr>
              <w:fldChar w:fldCharType="separate"/>
            </w:r>
            <w:r>
              <w:rPr>
                <w:noProof/>
                <w:webHidden/>
              </w:rPr>
              <w:t>2</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45" w:history="1">
            <w:r w:rsidR="006F4012" w:rsidRPr="008A3BEA">
              <w:rPr>
                <w:rStyle w:val="Hyperlink"/>
                <w:noProof/>
              </w:rPr>
              <w:t>1.2 Emissions and Waste transfers for 2019</w:t>
            </w:r>
            <w:r w:rsidR="006F4012">
              <w:rPr>
                <w:noProof/>
                <w:webHidden/>
              </w:rPr>
              <w:tab/>
            </w:r>
            <w:r w:rsidR="006F4012">
              <w:rPr>
                <w:noProof/>
                <w:webHidden/>
              </w:rPr>
              <w:fldChar w:fldCharType="begin"/>
            </w:r>
            <w:r w:rsidR="006F4012">
              <w:rPr>
                <w:noProof/>
                <w:webHidden/>
              </w:rPr>
              <w:instrText xml:space="preserve"> PAGEREF _Toc51591145 \h </w:instrText>
            </w:r>
            <w:r w:rsidR="006F4012">
              <w:rPr>
                <w:noProof/>
                <w:webHidden/>
              </w:rPr>
            </w:r>
            <w:r w:rsidR="006F4012">
              <w:rPr>
                <w:noProof/>
                <w:webHidden/>
              </w:rPr>
              <w:fldChar w:fldCharType="separate"/>
            </w:r>
            <w:r>
              <w:rPr>
                <w:noProof/>
                <w:webHidden/>
              </w:rPr>
              <w:t>3</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46" w:history="1">
            <w:r w:rsidR="006F4012" w:rsidRPr="008A3BEA">
              <w:rPr>
                <w:rStyle w:val="Hyperlink"/>
                <w:noProof/>
              </w:rPr>
              <w:t>1.3 Greenhouse gas emissions</w:t>
            </w:r>
            <w:r w:rsidR="006F4012">
              <w:rPr>
                <w:noProof/>
                <w:webHidden/>
              </w:rPr>
              <w:tab/>
            </w:r>
            <w:r w:rsidR="006F4012">
              <w:rPr>
                <w:noProof/>
                <w:webHidden/>
              </w:rPr>
              <w:fldChar w:fldCharType="begin"/>
            </w:r>
            <w:r w:rsidR="006F4012">
              <w:rPr>
                <w:noProof/>
                <w:webHidden/>
              </w:rPr>
              <w:instrText xml:space="preserve"> PAGEREF _Toc51591146 \h </w:instrText>
            </w:r>
            <w:r w:rsidR="006F4012">
              <w:rPr>
                <w:noProof/>
                <w:webHidden/>
              </w:rPr>
            </w:r>
            <w:r w:rsidR="006F4012">
              <w:rPr>
                <w:noProof/>
                <w:webHidden/>
              </w:rPr>
              <w:fldChar w:fldCharType="separate"/>
            </w:r>
            <w:r>
              <w:rPr>
                <w:noProof/>
                <w:webHidden/>
              </w:rPr>
              <w:t>12</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47" w:history="1">
            <w:r w:rsidR="006F4012" w:rsidRPr="008A3BEA">
              <w:rPr>
                <w:rStyle w:val="Hyperlink"/>
                <w:noProof/>
              </w:rPr>
              <w:t>1.4 SPRI reporting data</w:t>
            </w:r>
            <w:r w:rsidR="006F4012">
              <w:rPr>
                <w:noProof/>
                <w:webHidden/>
              </w:rPr>
              <w:tab/>
            </w:r>
            <w:r w:rsidR="006F4012">
              <w:rPr>
                <w:noProof/>
                <w:webHidden/>
              </w:rPr>
              <w:fldChar w:fldCharType="begin"/>
            </w:r>
            <w:r w:rsidR="006F4012">
              <w:rPr>
                <w:noProof/>
                <w:webHidden/>
              </w:rPr>
              <w:instrText xml:space="preserve"> PAGEREF _Toc51591147 \h </w:instrText>
            </w:r>
            <w:r w:rsidR="006F4012">
              <w:rPr>
                <w:noProof/>
                <w:webHidden/>
              </w:rPr>
            </w:r>
            <w:r w:rsidR="006F4012">
              <w:rPr>
                <w:noProof/>
                <w:webHidden/>
              </w:rPr>
              <w:fldChar w:fldCharType="separate"/>
            </w:r>
            <w:r>
              <w:rPr>
                <w:noProof/>
                <w:webHidden/>
              </w:rPr>
              <w:t>17</w:t>
            </w:r>
            <w:r w:rsidR="006F4012">
              <w:rPr>
                <w:noProof/>
                <w:webHidden/>
              </w:rPr>
              <w:fldChar w:fldCharType="end"/>
            </w:r>
          </w:hyperlink>
        </w:p>
        <w:p w:rsidR="006F4012" w:rsidRDefault="007C0887">
          <w:pPr>
            <w:pStyle w:val="TOC2"/>
            <w:tabs>
              <w:tab w:val="right" w:leader="dot" w:pos="10456"/>
            </w:tabs>
            <w:rPr>
              <w:rFonts w:eastAsiaTheme="minorEastAsia"/>
              <w:noProof/>
              <w:lang w:eastAsia="en-GB"/>
            </w:rPr>
          </w:pPr>
          <w:hyperlink w:anchor="_Toc51591148" w:history="1">
            <w:r w:rsidR="006F4012" w:rsidRPr="008A3BEA">
              <w:rPr>
                <w:rStyle w:val="Hyperlink"/>
                <w:noProof/>
              </w:rPr>
              <w:t>2. About this Experimental Statistic</w:t>
            </w:r>
            <w:r w:rsidR="006F4012">
              <w:rPr>
                <w:noProof/>
                <w:webHidden/>
              </w:rPr>
              <w:tab/>
            </w:r>
            <w:r w:rsidR="006F4012">
              <w:rPr>
                <w:noProof/>
                <w:webHidden/>
              </w:rPr>
              <w:fldChar w:fldCharType="begin"/>
            </w:r>
            <w:r w:rsidR="006F4012">
              <w:rPr>
                <w:noProof/>
                <w:webHidden/>
              </w:rPr>
              <w:instrText xml:space="preserve"> PAGEREF _Toc51591148 \h </w:instrText>
            </w:r>
            <w:r w:rsidR="006F4012">
              <w:rPr>
                <w:noProof/>
                <w:webHidden/>
              </w:rPr>
            </w:r>
            <w:r w:rsidR="006F4012">
              <w:rPr>
                <w:noProof/>
                <w:webHidden/>
              </w:rPr>
              <w:fldChar w:fldCharType="separate"/>
            </w:r>
            <w:r>
              <w:rPr>
                <w:noProof/>
                <w:webHidden/>
              </w:rPr>
              <w:t>21</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49" w:history="1">
            <w:r w:rsidR="006F4012" w:rsidRPr="008A3BEA">
              <w:rPr>
                <w:rStyle w:val="Hyperlink"/>
                <w:noProof/>
              </w:rPr>
              <w:t>2.1 Scope of this statistical release</w:t>
            </w:r>
            <w:r w:rsidR="006F4012">
              <w:rPr>
                <w:noProof/>
                <w:webHidden/>
              </w:rPr>
              <w:tab/>
            </w:r>
            <w:r w:rsidR="006F4012">
              <w:rPr>
                <w:noProof/>
                <w:webHidden/>
              </w:rPr>
              <w:fldChar w:fldCharType="begin"/>
            </w:r>
            <w:r w:rsidR="006F4012">
              <w:rPr>
                <w:noProof/>
                <w:webHidden/>
              </w:rPr>
              <w:instrText xml:space="preserve"> PAGEREF _Toc51591149 \h </w:instrText>
            </w:r>
            <w:r w:rsidR="006F4012">
              <w:rPr>
                <w:noProof/>
                <w:webHidden/>
              </w:rPr>
            </w:r>
            <w:r w:rsidR="006F4012">
              <w:rPr>
                <w:noProof/>
                <w:webHidden/>
              </w:rPr>
              <w:fldChar w:fldCharType="separate"/>
            </w:r>
            <w:r>
              <w:rPr>
                <w:noProof/>
                <w:webHidden/>
              </w:rPr>
              <w:t>21</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50" w:history="1">
            <w:r w:rsidR="006F4012" w:rsidRPr="008A3BEA">
              <w:rPr>
                <w:rStyle w:val="Hyperlink"/>
                <w:noProof/>
              </w:rPr>
              <w:t>2.2 User statement</w:t>
            </w:r>
            <w:r w:rsidR="006F4012">
              <w:rPr>
                <w:noProof/>
                <w:webHidden/>
              </w:rPr>
              <w:tab/>
            </w:r>
            <w:r w:rsidR="006F4012">
              <w:rPr>
                <w:noProof/>
                <w:webHidden/>
              </w:rPr>
              <w:fldChar w:fldCharType="begin"/>
            </w:r>
            <w:r w:rsidR="006F4012">
              <w:rPr>
                <w:noProof/>
                <w:webHidden/>
              </w:rPr>
              <w:instrText xml:space="preserve"> PAGEREF _Toc51591150 \h </w:instrText>
            </w:r>
            <w:r w:rsidR="006F4012">
              <w:rPr>
                <w:noProof/>
                <w:webHidden/>
              </w:rPr>
            </w:r>
            <w:r w:rsidR="006F4012">
              <w:rPr>
                <w:noProof/>
                <w:webHidden/>
              </w:rPr>
              <w:fldChar w:fldCharType="separate"/>
            </w:r>
            <w:r>
              <w:rPr>
                <w:noProof/>
                <w:webHidden/>
              </w:rPr>
              <w:t>21</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51" w:history="1">
            <w:r w:rsidR="006F4012" w:rsidRPr="008A3BEA">
              <w:rPr>
                <w:rStyle w:val="Hyperlink"/>
                <w:noProof/>
              </w:rPr>
              <w:t>2.3 Feedback</w:t>
            </w:r>
            <w:r w:rsidR="006F4012">
              <w:rPr>
                <w:noProof/>
                <w:webHidden/>
              </w:rPr>
              <w:tab/>
            </w:r>
            <w:r w:rsidR="006F4012">
              <w:rPr>
                <w:noProof/>
                <w:webHidden/>
              </w:rPr>
              <w:fldChar w:fldCharType="begin"/>
            </w:r>
            <w:r w:rsidR="006F4012">
              <w:rPr>
                <w:noProof/>
                <w:webHidden/>
              </w:rPr>
              <w:instrText xml:space="preserve"> PAGEREF _Toc51591151 \h </w:instrText>
            </w:r>
            <w:r w:rsidR="006F4012">
              <w:rPr>
                <w:noProof/>
                <w:webHidden/>
              </w:rPr>
            </w:r>
            <w:r w:rsidR="006F4012">
              <w:rPr>
                <w:noProof/>
                <w:webHidden/>
              </w:rPr>
              <w:fldChar w:fldCharType="separate"/>
            </w:r>
            <w:r>
              <w:rPr>
                <w:noProof/>
                <w:webHidden/>
              </w:rPr>
              <w:t>21</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52" w:history="1">
            <w:r w:rsidR="006F4012" w:rsidRPr="008A3BEA">
              <w:rPr>
                <w:rStyle w:val="Hyperlink"/>
                <w:noProof/>
              </w:rPr>
              <w:t>2.4 Revisions</w:t>
            </w:r>
            <w:r w:rsidR="006F4012">
              <w:rPr>
                <w:noProof/>
                <w:webHidden/>
              </w:rPr>
              <w:tab/>
            </w:r>
            <w:r w:rsidR="006F4012">
              <w:rPr>
                <w:noProof/>
                <w:webHidden/>
              </w:rPr>
              <w:fldChar w:fldCharType="begin"/>
            </w:r>
            <w:r w:rsidR="006F4012">
              <w:rPr>
                <w:noProof/>
                <w:webHidden/>
              </w:rPr>
              <w:instrText xml:space="preserve"> PAGEREF _Toc51591152 \h </w:instrText>
            </w:r>
            <w:r w:rsidR="006F4012">
              <w:rPr>
                <w:noProof/>
                <w:webHidden/>
              </w:rPr>
            </w:r>
            <w:r w:rsidR="006F4012">
              <w:rPr>
                <w:noProof/>
                <w:webHidden/>
              </w:rPr>
              <w:fldChar w:fldCharType="separate"/>
            </w:r>
            <w:r>
              <w:rPr>
                <w:noProof/>
                <w:webHidden/>
              </w:rPr>
              <w:t>22</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53" w:history="1">
            <w:r w:rsidR="006F4012" w:rsidRPr="008A3BEA">
              <w:rPr>
                <w:rStyle w:val="Hyperlink"/>
                <w:noProof/>
              </w:rPr>
              <w:t>2.5 Release</w:t>
            </w:r>
            <w:r w:rsidR="006F4012">
              <w:rPr>
                <w:noProof/>
                <w:webHidden/>
              </w:rPr>
              <w:tab/>
            </w:r>
            <w:r w:rsidR="006F4012">
              <w:rPr>
                <w:noProof/>
                <w:webHidden/>
              </w:rPr>
              <w:fldChar w:fldCharType="begin"/>
            </w:r>
            <w:r w:rsidR="006F4012">
              <w:rPr>
                <w:noProof/>
                <w:webHidden/>
              </w:rPr>
              <w:instrText xml:space="preserve"> PAGEREF _Toc51591153 \h </w:instrText>
            </w:r>
            <w:r w:rsidR="006F4012">
              <w:rPr>
                <w:noProof/>
                <w:webHidden/>
              </w:rPr>
            </w:r>
            <w:r w:rsidR="006F4012">
              <w:rPr>
                <w:noProof/>
                <w:webHidden/>
              </w:rPr>
              <w:fldChar w:fldCharType="separate"/>
            </w:r>
            <w:r>
              <w:rPr>
                <w:noProof/>
                <w:webHidden/>
              </w:rPr>
              <w:t>25</w:t>
            </w:r>
            <w:r w:rsidR="006F4012">
              <w:rPr>
                <w:noProof/>
                <w:webHidden/>
              </w:rPr>
              <w:fldChar w:fldCharType="end"/>
            </w:r>
          </w:hyperlink>
        </w:p>
        <w:p w:rsidR="006F4012" w:rsidRDefault="007C0887">
          <w:pPr>
            <w:pStyle w:val="TOC2"/>
            <w:tabs>
              <w:tab w:val="right" w:leader="dot" w:pos="10456"/>
            </w:tabs>
            <w:rPr>
              <w:rFonts w:eastAsiaTheme="minorEastAsia"/>
              <w:noProof/>
              <w:lang w:eastAsia="en-GB"/>
            </w:rPr>
          </w:pPr>
          <w:hyperlink w:anchor="_Toc51591154" w:history="1">
            <w:r w:rsidR="006F4012" w:rsidRPr="008A3BEA">
              <w:rPr>
                <w:rStyle w:val="Hyperlink"/>
                <w:noProof/>
              </w:rPr>
              <w:t>3. About the Scottish Pollutant Release Inventory</w:t>
            </w:r>
            <w:r w:rsidR="006F4012">
              <w:rPr>
                <w:noProof/>
                <w:webHidden/>
              </w:rPr>
              <w:tab/>
            </w:r>
            <w:r w:rsidR="006F4012">
              <w:rPr>
                <w:noProof/>
                <w:webHidden/>
              </w:rPr>
              <w:fldChar w:fldCharType="begin"/>
            </w:r>
            <w:r w:rsidR="006F4012">
              <w:rPr>
                <w:noProof/>
                <w:webHidden/>
              </w:rPr>
              <w:instrText xml:space="preserve"> PAGEREF _Toc51591154 \h </w:instrText>
            </w:r>
            <w:r w:rsidR="006F4012">
              <w:rPr>
                <w:noProof/>
                <w:webHidden/>
              </w:rPr>
            </w:r>
            <w:r w:rsidR="006F4012">
              <w:rPr>
                <w:noProof/>
                <w:webHidden/>
              </w:rPr>
              <w:fldChar w:fldCharType="separate"/>
            </w:r>
            <w:r>
              <w:rPr>
                <w:noProof/>
                <w:webHidden/>
              </w:rPr>
              <w:t>26</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55" w:history="1">
            <w:r w:rsidR="006F4012" w:rsidRPr="008A3BEA">
              <w:rPr>
                <w:rStyle w:val="Hyperlink"/>
                <w:noProof/>
              </w:rPr>
              <w:t>3.1 What is the Scottish Pollutant Releases Inventory?</w:t>
            </w:r>
            <w:r w:rsidR="006F4012">
              <w:rPr>
                <w:noProof/>
                <w:webHidden/>
              </w:rPr>
              <w:tab/>
            </w:r>
            <w:r w:rsidR="006F4012">
              <w:rPr>
                <w:noProof/>
                <w:webHidden/>
              </w:rPr>
              <w:fldChar w:fldCharType="begin"/>
            </w:r>
            <w:r w:rsidR="006F4012">
              <w:rPr>
                <w:noProof/>
                <w:webHidden/>
              </w:rPr>
              <w:instrText xml:space="preserve"> PAGEREF _Toc51591155 \h </w:instrText>
            </w:r>
            <w:r w:rsidR="006F4012">
              <w:rPr>
                <w:noProof/>
                <w:webHidden/>
              </w:rPr>
            </w:r>
            <w:r w:rsidR="006F4012">
              <w:rPr>
                <w:noProof/>
                <w:webHidden/>
              </w:rPr>
              <w:fldChar w:fldCharType="separate"/>
            </w:r>
            <w:r>
              <w:rPr>
                <w:noProof/>
                <w:webHidden/>
              </w:rPr>
              <w:t>26</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56" w:history="1">
            <w:r w:rsidR="006F4012" w:rsidRPr="008A3BEA">
              <w:rPr>
                <w:rStyle w:val="Hyperlink"/>
                <w:noProof/>
              </w:rPr>
              <w:t>3.2 Who reports?</w:t>
            </w:r>
            <w:r w:rsidR="006F4012">
              <w:rPr>
                <w:noProof/>
                <w:webHidden/>
              </w:rPr>
              <w:tab/>
            </w:r>
            <w:r w:rsidR="006F4012">
              <w:rPr>
                <w:noProof/>
                <w:webHidden/>
              </w:rPr>
              <w:fldChar w:fldCharType="begin"/>
            </w:r>
            <w:r w:rsidR="006F4012">
              <w:rPr>
                <w:noProof/>
                <w:webHidden/>
              </w:rPr>
              <w:instrText xml:space="preserve"> PAGEREF _Toc51591156 \h </w:instrText>
            </w:r>
            <w:r w:rsidR="006F4012">
              <w:rPr>
                <w:noProof/>
                <w:webHidden/>
              </w:rPr>
            </w:r>
            <w:r w:rsidR="006F4012">
              <w:rPr>
                <w:noProof/>
                <w:webHidden/>
              </w:rPr>
              <w:fldChar w:fldCharType="separate"/>
            </w:r>
            <w:r>
              <w:rPr>
                <w:noProof/>
                <w:webHidden/>
              </w:rPr>
              <w:t>26</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57" w:history="1">
            <w:r w:rsidR="006F4012" w:rsidRPr="008A3BEA">
              <w:rPr>
                <w:rStyle w:val="Hyperlink"/>
                <w:noProof/>
              </w:rPr>
              <w:t>3.3 SEPA’s role</w:t>
            </w:r>
            <w:r w:rsidR="006F4012">
              <w:rPr>
                <w:noProof/>
                <w:webHidden/>
              </w:rPr>
              <w:tab/>
            </w:r>
            <w:r w:rsidR="006F4012">
              <w:rPr>
                <w:noProof/>
                <w:webHidden/>
              </w:rPr>
              <w:fldChar w:fldCharType="begin"/>
            </w:r>
            <w:r w:rsidR="006F4012">
              <w:rPr>
                <w:noProof/>
                <w:webHidden/>
              </w:rPr>
              <w:instrText xml:space="preserve"> PAGEREF _Toc51591157 \h </w:instrText>
            </w:r>
            <w:r w:rsidR="006F4012">
              <w:rPr>
                <w:noProof/>
                <w:webHidden/>
              </w:rPr>
            </w:r>
            <w:r w:rsidR="006F4012">
              <w:rPr>
                <w:noProof/>
                <w:webHidden/>
              </w:rPr>
              <w:fldChar w:fldCharType="separate"/>
            </w:r>
            <w:r>
              <w:rPr>
                <w:noProof/>
                <w:webHidden/>
              </w:rPr>
              <w:t>27</w:t>
            </w:r>
            <w:r w:rsidR="006F4012">
              <w:rPr>
                <w:noProof/>
                <w:webHidden/>
              </w:rPr>
              <w:fldChar w:fldCharType="end"/>
            </w:r>
          </w:hyperlink>
        </w:p>
        <w:p w:rsidR="006F4012" w:rsidRDefault="007C0887">
          <w:pPr>
            <w:pStyle w:val="TOC3"/>
            <w:tabs>
              <w:tab w:val="right" w:leader="dot" w:pos="10456"/>
            </w:tabs>
            <w:rPr>
              <w:rFonts w:eastAsiaTheme="minorEastAsia"/>
              <w:noProof/>
              <w:lang w:eastAsia="en-GB"/>
            </w:rPr>
          </w:pPr>
          <w:hyperlink w:anchor="_Toc51591158" w:history="1">
            <w:r w:rsidR="006F4012" w:rsidRPr="008A3BEA">
              <w:rPr>
                <w:rStyle w:val="Hyperlink"/>
                <w:noProof/>
              </w:rPr>
              <w:t>3.4 Information to consider when using SPRI data and technical notes</w:t>
            </w:r>
            <w:r w:rsidR="006F4012">
              <w:rPr>
                <w:noProof/>
                <w:webHidden/>
              </w:rPr>
              <w:tab/>
            </w:r>
            <w:r w:rsidR="006F4012">
              <w:rPr>
                <w:noProof/>
                <w:webHidden/>
              </w:rPr>
              <w:fldChar w:fldCharType="begin"/>
            </w:r>
            <w:r w:rsidR="006F4012">
              <w:rPr>
                <w:noProof/>
                <w:webHidden/>
              </w:rPr>
              <w:instrText xml:space="preserve"> PAGEREF _Toc51591158 \h </w:instrText>
            </w:r>
            <w:r w:rsidR="006F4012">
              <w:rPr>
                <w:noProof/>
                <w:webHidden/>
              </w:rPr>
            </w:r>
            <w:r w:rsidR="006F4012">
              <w:rPr>
                <w:noProof/>
                <w:webHidden/>
              </w:rPr>
              <w:fldChar w:fldCharType="separate"/>
            </w:r>
            <w:r>
              <w:rPr>
                <w:noProof/>
                <w:webHidden/>
              </w:rPr>
              <w:t>27</w:t>
            </w:r>
            <w:r w:rsidR="006F4012">
              <w:rPr>
                <w:noProof/>
                <w:webHidden/>
              </w:rPr>
              <w:fldChar w:fldCharType="end"/>
            </w:r>
          </w:hyperlink>
        </w:p>
        <w:p w:rsidR="003C4868" w:rsidRDefault="00CE08B2" w:rsidP="003C4868">
          <w:r>
            <w:rPr>
              <w:b/>
              <w:bCs/>
              <w:noProof/>
            </w:rPr>
            <w:fldChar w:fldCharType="end"/>
          </w:r>
        </w:p>
      </w:sdtContent>
    </w:sdt>
    <w:p w:rsidR="00135E70" w:rsidRDefault="000C2D89" w:rsidP="003C4868">
      <w:pPr>
        <w:rPr>
          <w:i/>
        </w:rPr>
      </w:pPr>
      <w:r>
        <w:rPr>
          <w:b/>
          <w:bCs/>
          <w:i/>
        </w:rPr>
        <w:t>Media e</w:t>
      </w:r>
      <w:r w:rsidR="003C4868" w:rsidRPr="00520861">
        <w:rPr>
          <w:b/>
          <w:bCs/>
          <w:i/>
        </w:rPr>
        <w:t>nquiries</w:t>
      </w:r>
      <w:r>
        <w:rPr>
          <w:b/>
          <w:bCs/>
          <w:i/>
        </w:rPr>
        <w:t xml:space="preserve"> t</w:t>
      </w:r>
      <w:r w:rsidR="003C4868" w:rsidRPr="00520861">
        <w:rPr>
          <w:b/>
          <w:bCs/>
          <w:i/>
        </w:rPr>
        <w:t>o</w:t>
      </w:r>
      <w:r w:rsidR="003C4868" w:rsidRPr="00520861">
        <w:rPr>
          <w:i/>
        </w:rPr>
        <w:t xml:space="preserve">: SEPA Communications Department: </w:t>
      </w:r>
      <w:hyperlink r:id="rId8" w:history="1">
        <w:r w:rsidR="001D3652" w:rsidRPr="001D3652">
          <w:rPr>
            <w:rStyle w:val="Hyperlink"/>
          </w:rPr>
          <w:t>media@sepa.org.uk</w:t>
        </w:r>
      </w:hyperlink>
      <w:r w:rsidR="001D3652" w:rsidRPr="001D3652">
        <w:t xml:space="preserve"> </w:t>
      </w:r>
      <w:r w:rsidR="003C4868" w:rsidRPr="00520861">
        <w:rPr>
          <w:i/>
        </w:rPr>
        <w:t>.</w:t>
      </w:r>
    </w:p>
    <w:p w:rsidR="00135E70" w:rsidRPr="00D55E73" w:rsidRDefault="00135E70" w:rsidP="003C4868">
      <w:r w:rsidRPr="00135E70">
        <w:rPr>
          <w:b/>
          <w:i/>
        </w:rPr>
        <w:t>Feedback on this document to</w:t>
      </w:r>
      <w:r>
        <w:rPr>
          <w:i/>
        </w:rPr>
        <w:t xml:space="preserve">: </w:t>
      </w:r>
      <w:hyperlink r:id="rId9" w:history="1">
        <w:r w:rsidR="00D55E73" w:rsidRPr="00D55E73">
          <w:rPr>
            <w:rStyle w:val="Hyperlink"/>
          </w:rPr>
          <w:t>SPRI.Administration@sepa.org.uk</w:t>
        </w:r>
      </w:hyperlink>
    </w:p>
    <w:p w:rsidR="00395D2C" w:rsidRPr="00726BA4" w:rsidRDefault="003C4868">
      <w:pPr>
        <w:rPr>
          <w:i/>
        </w:rPr>
      </w:pPr>
      <w:r w:rsidRPr="00520861">
        <w:rPr>
          <w:i/>
        </w:rPr>
        <w:t>This is an Experimental Official Statistics publication. These statistics have been produced to the high professional standards defined in the Code of Practice for Official Statistics, which sets out fourteen principles under the pillars of Trustworthiness, Quality and Value. More information on the Official Statistics Code of Practice can be found here:</w:t>
      </w:r>
      <w:r w:rsidR="00395D2C">
        <w:rPr>
          <w:i/>
        </w:rPr>
        <w:t xml:space="preserve"> </w:t>
      </w:r>
      <w:hyperlink r:id="rId10" w:history="1">
        <w:r w:rsidRPr="00520861">
          <w:rPr>
            <w:rStyle w:val="Hyperlink"/>
            <w:i/>
          </w:rPr>
          <w:t>http://www.statisticsauthority.gov.uk/assessment/code-of-practice/index.html</w:t>
        </w:r>
      </w:hyperlink>
      <w:r w:rsidRPr="00520861">
        <w:rPr>
          <w:i/>
        </w:rPr>
        <w:t xml:space="preserve">. </w:t>
      </w:r>
      <w:r w:rsidR="00395D2C">
        <w:rPr>
          <w:i/>
        </w:rPr>
        <w:t>Lead statistician: Rebbecca Chaffer</w:t>
      </w:r>
      <w:r w:rsidR="00A77292">
        <w:rPr>
          <w:i/>
        </w:rPr>
        <w:t>.</w:t>
      </w:r>
    </w:p>
    <w:p w:rsidR="00520861" w:rsidRPr="00532FE8" w:rsidRDefault="009569C3" w:rsidP="002A0C35">
      <w:pPr>
        <w:pStyle w:val="Heading2"/>
      </w:pPr>
      <w:bookmarkStart w:id="0" w:name="_Toc51591143"/>
      <w:r>
        <w:lastRenderedPageBreak/>
        <w:t>1.</w:t>
      </w:r>
      <w:r w:rsidR="00520861" w:rsidRPr="00532FE8">
        <w:t xml:space="preserve"> The statistics</w:t>
      </w:r>
      <w:bookmarkEnd w:id="0"/>
    </w:p>
    <w:p w:rsidR="00532FE8" w:rsidRPr="005C4C0E" w:rsidRDefault="00532FE8" w:rsidP="00807BA3"/>
    <w:p w:rsidR="005C4C0E" w:rsidRDefault="009569C3" w:rsidP="005C4C0E">
      <w:pPr>
        <w:pStyle w:val="Heading3"/>
      </w:pPr>
      <w:bookmarkStart w:id="1" w:name="_Toc51591144"/>
      <w:r>
        <w:t xml:space="preserve">1.1 </w:t>
      </w:r>
      <w:r w:rsidR="005C4C0E">
        <w:t>Key information for 2019</w:t>
      </w:r>
      <w:bookmarkEnd w:id="1"/>
    </w:p>
    <w:p w:rsidR="00682428" w:rsidRDefault="00682428" w:rsidP="00682428"/>
    <w:p w:rsidR="00F944DD" w:rsidRPr="005C4C0E" w:rsidRDefault="00F944DD" w:rsidP="00F944DD">
      <w:pPr>
        <w:jc w:val="center"/>
      </w:pPr>
      <w:r>
        <w:rPr>
          <w:noProof/>
          <w:lang w:eastAsia="en-GB"/>
        </w:rPr>
        <w:drawing>
          <wp:inline distT="0" distB="0" distL="0" distR="0" wp14:anchorId="0610815C">
            <wp:extent cx="5675630" cy="48647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630" cy="4864735"/>
                    </a:xfrm>
                    <a:prstGeom prst="rect">
                      <a:avLst/>
                    </a:prstGeom>
                    <a:noFill/>
                  </pic:spPr>
                </pic:pic>
              </a:graphicData>
            </a:graphic>
          </wp:inline>
        </w:drawing>
      </w:r>
    </w:p>
    <w:p w:rsidR="00F944DD" w:rsidRDefault="00F944DD" w:rsidP="00682428"/>
    <w:p w:rsidR="001467AF" w:rsidRDefault="00A86736" w:rsidP="00682428">
      <w:r w:rsidRPr="00C0626E">
        <w:t>Emissions of carbon dioxide and methane from the SEPA-regulated industrial sites which report to SPRI continue the decrease seen over the past decade</w:t>
      </w:r>
      <w:r w:rsidR="00791483" w:rsidRPr="00C0626E">
        <w:t xml:space="preserve">. </w:t>
      </w:r>
      <w:r w:rsidR="001467AF" w:rsidRPr="000F5338">
        <w:t>Carbon dioxide emissions fell by 57% between 2010 and 2019; methane fell by 44%.</w:t>
      </w:r>
    </w:p>
    <w:p w:rsidR="00BB3642" w:rsidRPr="00C0626E" w:rsidRDefault="008D2219" w:rsidP="00682428">
      <w:r w:rsidRPr="00C0626E">
        <w:t xml:space="preserve">Emissions to air from sites in the </w:t>
      </w:r>
      <w:r w:rsidRPr="002E7ED4">
        <w:t>Waste and waste-water management</w:t>
      </w:r>
      <w:r w:rsidRPr="00C0626E">
        <w:t xml:space="preserve"> sector show the opposite trend, with carbon dioxide releases up by 76% since 2010. This is partly due to the increase in incineration of waste. However, their emissions of greenhouses gase</w:t>
      </w:r>
      <w:r w:rsidR="00475502">
        <w:t>s remain small relative to the E</w:t>
      </w:r>
      <w:r w:rsidRPr="00C0626E">
        <w:t>nergy sector. For example, i</w:t>
      </w:r>
      <w:r w:rsidR="00475502">
        <w:t>n 2019 carbon dioxide from the E</w:t>
      </w:r>
      <w:r w:rsidRPr="00C0626E">
        <w:t>nergy sector accounted for 58% of the total release, compared to 18% from the Waste and waste-water management sector.</w:t>
      </w:r>
    </w:p>
    <w:p w:rsidR="000C3CC5" w:rsidRPr="00C0626E" w:rsidRDefault="000C3CC5" w:rsidP="00682428">
      <w:r w:rsidRPr="00C0626E">
        <w:t>Emissions of all six greenhouse gases which are reportable to SPRI are discussed in section 1.3.</w:t>
      </w:r>
    </w:p>
    <w:p w:rsidR="00081752" w:rsidRDefault="00081752">
      <w:pPr>
        <w:rPr>
          <w:rFonts w:eastAsiaTheme="majorEastAsia" w:cstheme="majorBidi"/>
          <w:b/>
          <w:sz w:val="24"/>
          <w:szCs w:val="24"/>
        </w:rPr>
      </w:pPr>
      <w:r>
        <w:br w:type="page"/>
      </w:r>
    </w:p>
    <w:p w:rsidR="002870F1" w:rsidRPr="00532FE8" w:rsidRDefault="009569C3" w:rsidP="007572EA">
      <w:pPr>
        <w:pStyle w:val="Heading3"/>
      </w:pPr>
      <w:bookmarkStart w:id="2" w:name="_Toc51591145"/>
      <w:r>
        <w:lastRenderedPageBreak/>
        <w:t xml:space="preserve">1.2 </w:t>
      </w:r>
      <w:r w:rsidR="002870F1" w:rsidRPr="00532FE8">
        <w:t>Emissions and Waste transfers</w:t>
      </w:r>
      <w:r w:rsidR="00B264E0">
        <w:t xml:space="preserve"> for 2019</w:t>
      </w:r>
      <w:bookmarkEnd w:id="2"/>
    </w:p>
    <w:p w:rsidR="00D151FF" w:rsidRDefault="00D151FF" w:rsidP="00CE08B2">
      <w:pPr>
        <w:spacing w:after="0"/>
        <w:rPr>
          <w:u w:val="single"/>
        </w:rPr>
      </w:pPr>
    </w:p>
    <w:p w:rsidR="00532FE8" w:rsidRPr="00D151FF" w:rsidRDefault="00D151FF" w:rsidP="00D151FF">
      <w:pPr>
        <w:pStyle w:val="Heading4"/>
      </w:pPr>
      <w:r w:rsidRPr="00D151FF">
        <w:t>Emissions</w:t>
      </w:r>
    </w:p>
    <w:p w:rsidR="00682428" w:rsidRPr="00682428" w:rsidRDefault="00682428" w:rsidP="00B264E0">
      <w:pPr>
        <w:spacing w:after="0"/>
      </w:pPr>
    </w:p>
    <w:p w:rsidR="009B0786" w:rsidRPr="004B4EF4" w:rsidRDefault="009B0786">
      <w:r w:rsidRPr="004B4EF4">
        <w:t>Summar</w:t>
      </w:r>
      <w:bookmarkStart w:id="3" w:name="_GoBack"/>
      <w:bookmarkEnd w:id="3"/>
      <w:r w:rsidRPr="004B4EF4">
        <w:t xml:space="preserve">y data is provided for all </w:t>
      </w:r>
      <w:r w:rsidR="00AC651B">
        <w:t xml:space="preserve">“above reporting threshold” (“ART” – see </w:t>
      </w:r>
      <w:r w:rsidR="000B3A8C">
        <w:t xml:space="preserve">note </w:t>
      </w:r>
      <w:r w:rsidR="00AC651B">
        <w:t xml:space="preserve">below) </w:t>
      </w:r>
      <w:r w:rsidRPr="004B4EF4">
        <w:t xml:space="preserve">emissions to air and water in the tables below (and on the accompanying data sheet). This is followed by more detailed information on greenhouse gas emissions data captured within SPRI. </w:t>
      </w:r>
    </w:p>
    <w:p w:rsidR="00682428" w:rsidRDefault="00682428">
      <w:r>
        <w:t xml:space="preserve">Tables </w:t>
      </w:r>
      <w:r w:rsidR="007404EB">
        <w:t xml:space="preserve">provided </w:t>
      </w:r>
      <w:r>
        <w:t>below show:</w:t>
      </w:r>
    </w:p>
    <w:p w:rsidR="00F65F15" w:rsidRDefault="00F65F15" w:rsidP="006B1EC0">
      <w:pPr>
        <w:ind w:left="720"/>
        <w:rPr>
          <w:i/>
        </w:rPr>
      </w:pPr>
      <w:r>
        <w:rPr>
          <w:i/>
        </w:rPr>
        <w:fldChar w:fldCharType="begin"/>
      </w:r>
      <w:r>
        <w:rPr>
          <w:i/>
        </w:rPr>
        <w:instrText xml:space="preserve"> REF Table1 \h </w:instrText>
      </w:r>
      <w:r>
        <w:rPr>
          <w:i/>
        </w:rPr>
      </w:r>
      <w:r>
        <w:rPr>
          <w:i/>
        </w:rPr>
        <w:fldChar w:fldCharType="separate"/>
      </w:r>
      <w:r w:rsidR="007C0887">
        <w:rPr>
          <w:i/>
        </w:rPr>
        <w:t>Table 1</w:t>
      </w:r>
      <w:r w:rsidR="007C0887" w:rsidRPr="00682428">
        <w:rPr>
          <w:i/>
        </w:rPr>
        <w:t xml:space="preserve">: Total </w:t>
      </w:r>
      <w:r w:rsidR="007C0887">
        <w:rPr>
          <w:i/>
        </w:rPr>
        <w:t xml:space="preserve">ART </w:t>
      </w:r>
      <w:r w:rsidR="007C0887" w:rsidRPr="00682428">
        <w:rPr>
          <w:i/>
        </w:rPr>
        <w:t>emissions to air by pollutant and industry sector</w:t>
      </w:r>
      <w:r w:rsidR="007C0887">
        <w:rPr>
          <w:i/>
        </w:rPr>
        <w:t xml:space="preserve"> for 2019</w:t>
      </w:r>
      <w:r w:rsidR="007C0887" w:rsidRPr="00682428">
        <w:rPr>
          <w:i/>
        </w:rPr>
        <w:t xml:space="preserve">. </w:t>
      </w:r>
      <w:r>
        <w:rPr>
          <w:i/>
        </w:rPr>
        <w:fldChar w:fldCharType="end"/>
      </w:r>
    </w:p>
    <w:p w:rsidR="007C0887" w:rsidRPr="00682428" w:rsidRDefault="00481C80" w:rsidP="007C0887">
      <w:pPr>
        <w:ind w:left="720"/>
        <w:rPr>
          <w:i/>
        </w:rPr>
      </w:pPr>
      <w:r>
        <w:rPr>
          <w:i/>
        </w:rPr>
        <w:fldChar w:fldCharType="begin"/>
      </w:r>
      <w:r>
        <w:rPr>
          <w:i/>
        </w:rPr>
        <w:instrText xml:space="preserve"> REF Table2 \h </w:instrText>
      </w:r>
      <w:r w:rsidR="009F1B66">
        <w:rPr>
          <w:i/>
        </w:rPr>
        <w:instrText xml:space="preserve"> \* MERGEFORMAT </w:instrText>
      </w:r>
      <w:r>
        <w:rPr>
          <w:i/>
        </w:rPr>
      </w:r>
      <w:r>
        <w:rPr>
          <w:i/>
        </w:rPr>
        <w:fldChar w:fldCharType="separate"/>
      </w:r>
      <w:r w:rsidR="007C0887" w:rsidRPr="007C0887">
        <w:rPr>
          <w:i/>
          <w:u w:val="single"/>
        </w:rPr>
        <w:t>Table 2:</w:t>
      </w:r>
      <w:r w:rsidR="007C0887" w:rsidRPr="00682428">
        <w:rPr>
          <w:i/>
        </w:rPr>
        <w:t xml:space="preserve"> Number of sites reporting ART emissions to air, and percentage of total </w:t>
      </w:r>
      <w:r w:rsidR="007C0887">
        <w:rPr>
          <w:i/>
        </w:rPr>
        <w:t xml:space="preserve">ART </w:t>
      </w:r>
      <w:r w:rsidR="007C0887" w:rsidRPr="00682428">
        <w:rPr>
          <w:i/>
        </w:rPr>
        <w:t>emission</w:t>
      </w:r>
      <w:r w:rsidR="007C0887">
        <w:rPr>
          <w:i/>
        </w:rPr>
        <w:t>s</w:t>
      </w:r>
      <w:r w:rsidR="007C0887" w:rsidRPr="00682428">
        <w:rPr>
          <w:i/>
        </w:rPr>
        <w:t xml:space="preserve"> released, by industry sector and pollutant</w:t>
      </w:r>
      <w:r w:rsidR="007C0887">
        <w:rPr>
          <w:i/>
        </w:rPr>
        <w:t xml:space="preserve"> for 2019</w:t>
      </w:r>
    </w:p>
    <w:p w:rsidR="00481C80" w:rsidRDefault="00481C80" w:rsidP="00481C80">
      <w:pPr>
        <w:ind w:left="720"/>
        <w:rPr>
          <w:i/>
        </w:rPr>
      </w:pPr>
      <w:r>
        <w:rPr>
          <w:i/>
        </w:rPr>
        <w:fldChar w:fldCharType="end"/>
      </w:r>
      <w:r>
        <w:rPr>
          <w:i/>
        </w:rPr>
        <w:fldChar w:fldCharType="begin"/>
      </w:r>
      <w:r>
        <w:rPr>
          <w:i/>
        </w:rPr>
        <w:instrText xml:space="preserve"> REF Table3 \h </w:instrText>
      </w:r>
      <w:r w:rsidR="009F1B66">
        <w:rPr>
          <w:i/>
        </w:rPr>
        <w:instrText xml:space="preserve"> \* MERGEFORMAT </w:instrText>
      </w:r>
      <w:r>
        <w:rPr>
          <w:i/>
        </w:rPr>
      </w:r>
      <w:r>
        <w:rPr>
          <w:i/>
        </w:rPr>
        <w:fldChar w:fldCharType="separate"/>
      </w:r>
      <w:r w:rsidR="007C0887" w:rsidRPr="007C0887">
        <w:rPr>
          <w:i/>
          <w:u w:val="single"/>
        </w:rPr>
        <w:t>Table 3:</w:t>
      </w:r>
      <w:r w:rsidR="007C0887" w:rsidRPr="00682428">
        <w:rPr>
          <w:i/>
        </w:rPr>
        <w:t xml:space="preserve"> Total </w:t>
      </w:r>
      <w:r w:rsidR="007C0887">
        <w:rPr>
          <w:i/>
        </w:rPr>
        <w:t xml:space="preserve">ART </w:t>
      </w:r>
      <w:r w:rsidR="007C0887" w:rsidRPr="00682428">
        <w:rPr>
          <w:i/>
        </w:rPr>
        <w:t>emissions to water by pollutant and industry sector</w:t>
      </w:r>
      <w:r w:rsidR="007C0887">
        <w:rPr>
          <w:i/>
        </w:rPr>
        <w:t xml:space="preserve"> for 2019</w:t>
      </w:r>
      <w:r w:rsidR="007C0887" w:rsidRPr="00682428">
        <w:rPr>
          <w:i/>
        </w:rPr>
        <w:t xml:space="preserve">. </w:t>
      </w:r>
      <w:r>
        <w:rPr>
          <w:i/>
        </w:rPr>
        <w:fldChar w:fldCharType="end"/>
      </w:r>
    </w:p>
    <w:p w:rsidR="007C0887" w:rsidRPr="00682428" w:rsidRDefault="00481C80" w:rsidP="007C0887">
      <w:pPr>
        <w:ind w:left="720"/>
        <w:rPr>
          <w:i/>
        </w:rPr>
      </w:pPr>
      <w:r>
        <w:rPr>
          <w:i/>
        </w:rPr>
        <w:fldChar w:fldCharType="begin"/>
      </w:r>
      <w:r>
        <w:rPr>
          <w:i/>
        </w:rPr>
        <w:instrText xml:space="preserve"> REF Table4 \h </w:instrText>
      </w:r>
      <w:r w:rsidR="009F1B66">
        <w:rPr>
          <w:i/>
        </w:rPr>
        <w:instrText xml:space="preserve"> \* MERGEFORMAT </w:instrText>
      </w:r>
      <w:r>
        <w:rPr>
          <w:i/>
        </w:rPr>
      </w:r>
      <w:r>
        <w:rPr>
          <w:i/>
        </w:rPr>
        <w:fldChar w:fldCharType="separate"/>
      </w:r>
      <w:r w:rsidR="007C0887" w:rsidRPr="007C0887">
        <w:rPr>
          <w:i/>
          <w:u w:val="single"/>
        </w:rPr>
        <w:t>Table 4:</w:t>
      </w:r>
      <w:r w:rsidR="007C0887" w:rsidRPr="00682428">
        <w:rPr>
          <w:i/>
        </w:rPr>
        <w:t xml:space="preserve"> Number of sites reporting ART emissions to water, and percentage of total </w:t>
      </w:r>
      <w:r w:rsidR="007C0887">
        <w:rPr>
          <w:i/>
        </w:rPr>
        <w:t xml:space="preserve">ART </w:t>
      </w:r>
      <w:r w:rsidR="007C0887" w:rsidRPr="00682428">
        <w:rPr>
          <w:i/>
        </w:rPr>
        <w:t>emission</w:t>
      </w:r>
      <w:r w:rsidR="007C0887">
        <w:rPr>
          <w:i/>
        </w:rPr>
        <w:t>s</w:t>
      </w:r>
      <w:r w:rsidR="007C0887" w:rsidRPr="00682428">
        <w:rPr>
          <w:i/>
        </w:rPr>
        <w:t xml:space="preserve"> released, by sector and pollutant</w:t>
      </w:r>
      <w:r w:rsidR="007C0887">
        <w:rPr>
          <w:i/>
        </w:rPr>
        <w:t xml:space="preserve"> for 2019</w:t>
      </w:r>
    </w:p>
    <w:p w:rsidR="00682428" w:rsidRPr="00C114D0" w:rsidRDefault="00481C80" w:rsidP="00481C80">
      <w:pPr>
        <w:ind w:left="720"/>
        <w:rPr>
          <w:i/>
        </w:rPr>
      </w:pPr>
      <w:r>
        <w:rPr>
          <w:i/>
        </w:rPr>
        <w:fldChar w:fldCharType="end"/>
      </w:r>
    </w:p>
    <w:p w:rsidR="00682428" w:rsidRPr="006B1EC0" w:rsidRDefault="007404EB">
      <w:pPr>
        <w:rPr>
          <w:u w:val="single"/>
        </w:rPr>
      </w:pPr>
      <w:r w:rsidRPr="006B1EC0">
        <w:rPr>
          <w:u w:val="single"/>
        </w:rPr>
        <w:t>Notes on data provided:</w:t>
      </w:r>
    </w:p>
    <w:p w:rsidR="007404EB" w:rsidRPr="004F5BB0" w:rsidRDefault="007404EB" w:rsidP="007F6521">
      <w:pPr>
        <w:pStyle w:val="ListParagraph"/>
        <w:numPr>
          <w:ilvl w:val="0"/>
          <w:numId w:val="8"/>
        </w:numPr>
      </w:pPr>
      <w:r w:rsidRPr="004F5BB0">
        <w:t>All values are in kilograms, with the exception</w:t>
      </w:r>
      <w:r w:rsidR="008A2FC0">
        <w:t>s</w:t>
      </w:r>
      <w:r w:rsidRPr="004F5BB0">
        <w:t xml:space="preserve"> of carbon dioxide</w:t>
      </w:r>
      <w:r w:rsidR="008A2FC0">
        <w:t xml:space="preserve"> and methane</w:t>
      </w:r>
      <w:r w:rsidRPr="004F5BB0">
        <w:t xml:space="preserve"> to air which </w:t>
      </w:r>
      <w:r w:rsidR="008A2FC0">
        <w:t>are</w:t>
      </w:r>
      <w:r w:rsidRPr="004F5BB0">
        <w:t xml:space="preserve"> given in tonnes (1,000kg)</w:t>
      </w:r>
      <w:r w:rsidR="008A2FC0">
        <w:t xml:space="preserve"> or </w:t>
      </w:r>
      <w:proofErr w:type="spellStart"/>
      <w:r w:rsidR="008A2FC0">
        <w:t>kilotonnes</w:t>
      </w:r>
      <w:proofErr w:type="spellEnd"/>
      <w:r w:rsidR="008A2FC0">
        <w:t xml:space="preserve"> (1,000,000kg) in some figures to simplify reporting.</w:t>
      </w:r>
    </w:p>
    <w:p w:rsidR="007404EB" w:rsidRPr="004F5BB0" w:rsidRDefault="00AC651B" w:rsidP="007F6521">
      <w:pPr>
        <w:pStyle w:val="ListParagraph"/>
        <w:numPr>
          <w:ilvl w:val="0"/>
          <w:numId w:val="8"/>
        </w:numPr>
      </w:pPr>
      <w:r>
        <w:t>Most</w:t>
      </w:r>
      <w:r w:rsidR="007404EB" w:rsidRPr="004F5BB0">
        <w:t xml:space="preserve"> pollutants in SPRI have a threshold value. If a site’s emission is below this value, they report only “BRT” (Below Reporting Threshold). If emissions are “ART” (Above Reporting Threshold) they must supply us with a value. </w:t>
      </w:r>
      <w:r w:rsidR="00884404" w:rsidRPr="004F5BB0">
        <w:t>Figures for total emissions and number of reporting sites</w:t>
      </w:r>
      <w:r w:rsidR="007404EB" w:rsidRPr="004F5BB0">
        <w:t xml:space="preserve"> provided in this document are for “ART”</w:t>
      </w:r>
      <w:r w:rsidR="00884404" w:rsidRPr="004F5BB0">
        <w:t xml:space="preserve"> submissions only.</w:t>
      </w:r>
    </w:p>
    <w:p w:rsidR="00171317" w:rsidRPr="004F5BB0" w:rsidRDefault="00171317" w:rsidP="007F6521">
      <w:pPr>
        <w:pStyle w:val="ListParagraph"/>
        <w:numPr>
          <w:ilvl w:val="0"/>
          <w:numId w:val="8"/>
        </w:numPr>
      </w:pPr>
      <w:r w:rsidRPr="004F5BB0">
        <w:t>Percentage figures given to show proportion of total emissions from each industrial sector are rounded so may not total 100.</w:t>
      </w:r>
    </w:p>
    <w:p w:rsidR="00171317" w:rsidRDefault="00FB3871" w:rsidP="007F6521">
      <w:pPr>
        <w:pStyle w:val="ListParagraph"/>
        <w:numPr>
          <w:ilvl w:val="0"/>
          <w:numId w:val="8"/>
        </w:numPr>
      </w:pPr>
      <w:r w:rsidRPr="004F5BB0">
        <w:t xml:space="preserve">Precision of figures. Operators are asked to supply figures to </w:t>
      </w:r>
      <w:r w:rsidR="00B264E0" w:rsidRPr="004F5BB0">
        <w:t>three</w:t>
      </w:r>
      <w:r w:rsidRPr="004F5BB0">
        <w:t xml:space="preserve"> significant figures. Many provide more precise figures, and we have used these here. For some official reporting we are required to round each individual value to </w:t>
      </w:r>
      <w:r w:rsidR="00B264E0" w:rsidRPr="004F5BB0">
        <w:t xml:space="preserve">three significant figures </w:t>
      </w:r>
      <w:r w:rsidRPr="004F5BB0">
        <w:t xml:space="preserve">which </w:t>
      </w:r>
      <w:r w:rsidR="00B264E0" w:rsidRPr="004F5BB0">
        <w:t xml:space="preserve">may </w:t>
      </w:r>
      <w:r w:rsidRPr="004F5BB0">
        <w:t>cause slight discrepancies from the totals reported here.</w:t>
      </w:r>
    </w:p>
    <w:p w:rsidR="004E5B53" w:rsidRDefault="004E5B53" w:rsidP="004E5B53">
      <w:pPr>
        <w:pStyle w:val="ListParagraph"/>
        <w:numPr>
          <w:ilvl w:val="0"/>
          <w:numId w:val="8"/>
        </w:numPr>
      </w:pPr>
      <w:r>
        <w:t xml:space="preserve">There are nine SPRI Industry Sectors, as listed in the tables below. For details of the activities which place a site within those sectors, including the minimum size the minimum capacity a site must have to be required to report to SPRI, see table 6 and section </w:t>
      </w:r>
      <w:r w:rsidRPr="004E5B53">
        <w:rPr>
          <w:i/>
        </w:rPr>
        <w:t>3. About the Scottish Pollutant Release Inventory</w:t>
      </w:r>
      <w:r>
        <w:t>.</w:t>
      </w:r>
    </w:p>
    <w:p w:rsidR="004E5B53" w:rsidRPr="004F5BB0" w:rsidRDefault="004E5B53" w:rsidP="004E5B53">
      <w:pPr>
        <w:pStyle w:val="ListParagraph"/>
      </w:pPr>
    </w:p>
    <w:p w:rsidR="00884404" w:rsidRPr="00682428" w:rsidRDefault="00884404"/>
    <w:p w:rsidR="00A0258A" w:rsidRPr="00682428" w:rsidRDefault="00A0258A">
      <w:r w:rsidRPr="00682428">
        <w:br w:type="page"/>
      </w:r>
    </w:p>
    <w:p w:rsidR="00F06F1E" w:rsidRPr="00682428" w:rsidRDefault="00F06F1E">
      <w:pPr>
        <w:sectPr w:rsidR="00F06F1E" w:rsidRPr="00682428" w:rsidSect="00B52983">
          <w:footerReference w:type="default" r:id="rId12"/>
          <w:pgSz w:w="11906" w:h="16838"/>
          <w:pgMar w:top="720" w:right="720" w:bottom="720" w:left="720" w:header="397" w:footer="708" w:gutter="0"/>
          <w:cols w:space="708"/>
          <w:docGrid w:linePitch="360"/>
        </w:sectPr>
      </w:pPr>
    </w:p>
    <w:p w:rsidR="007F2B7C" w:rsidRPr="00682428" w:rsidRDefault="004C66F0" w:rsidP="007F2B7C">
      <w:pPr>
        <w:rPr>
          <w:i/>
        </w:rPr>
      </w:pPr>
      <w:bookmarkStart w:id="4" w:name="Table1"/>
      <w:r>
        <w:rPr>
          <w:i/>
        </w:rPr>
        <w:lastRenderedPageBreak/>
        <w:t>Table 1</w:t>
      </w:r>
      <w:r w:rsidR="007F2B7C" w:rsidRPr="00682428">
        <w:rPr>
          <w:i/>
        </w:rPr>
        <w:t xml:space="preserve">: Total </w:t>
      </w:r>
      <w:r w:rsidR="00DC1AC0">
        <w:rPr>
          <w:i/>
        </w:rPr>
        <w:t xml:space="preserve">ART </w:t>
      </w:r>
      <w:r w:rsidR="007F2B7C" w:rsidRPr="00682428">
        <w:rPr>
          <w:i/>
        </w:rPr>
        <w:t>emissions to air by pollutant and industry sector</w:t>
      </w:r>
      <w:r w:rsidR="00E1501B">
        <w:rPr>
          <w:i/>
        </w:rPr>
        <w:t xml:space="preserve"> for 2019</w:t>
      </w:r>
      <w:r w:rsidR="007F2B7C" w:rsidRPr="00682428">
        <w:rPr>
          <w:i/>
        </w:rPr>
        <w:t xml:space="preserve">. </w:t>
      </w:r>
      <w:bookmarkEnd w:id="4"/>
      <w:r w:rsidR="007F2B7C" w:rsidRPr="00682428">
        <w:rPr>
          <w:i/>
        </w:rPr>
        <w:t>All values a</w:t>
      </w:r>
      <w:r w:rsidR="00E1501B">
        <w:rPr>
          <w:i/>
        </w:rPr>
        <w:t>re kg except for carbon dioxide which is in tonnes</w:t>
      </w:r>
    </w:p>
    <w:tbl>
      <w:tblPr>
        <w:tblStyle w:val="PlainTable1"/>
        <w:tblW w:w="0" w:type="auto"/>
        <w:tblLayout w:type="fixed"/>
        <w:tblCellMar>
          <w:left w:w="57" w:type="dxa"/>
          <w:right w:w="57" w:type="dxa"/>
        </w:tblCellMar>
        <w:tblLook w:val="02A0" w:firstRow="1" w:lastRow="0" w:firstColumn="1" w:lastColumn="0" w:noHBand="1" w:noVBand="0"/>
      </w:tblPr>
      <w:tblGrid>
        <w:gridCol w:w="3345"/>
        <w:gridCol w:w="1077"/>
        <w:gridCol w:w="1091"/>
        <w:gridCol w:w="1091"/>
        <w:gridCol w:w="1092"/>
        <w:gridCol w:w="1091"/>
        <w:gridCol w:w="1131"/>
        <w:gridCol w:w="1134"/>
        <w:gridCol w:w="1009"/>
        <w:gridCol w:w="1117"/>
        <w:gridCol w:w="1066"/>
        <w:gridCol w:w="1092"/>
      </w:tblGrid>
      <w:tr w:rsidR="007F2B7C" w:rsidRPr="00C84375" w:rsidTr="003C6D07">
        <w:trPr>
          <w:cnfStyle w:val="100000000000" w:firstRow="1" w:lastRow="0" w:firstColumn="0" w:lastColumn="0" w:oddVBand="0" w:evenVBand="0" w:oddHBand="0" w:evenHBand="0" w:firstRowFirstColumn="0" w:firstRowLastColumn="0" w:lastRowFirstColumn="0" w:lastRowLastColumn="0"/>
          <w:trHeight w:val="1946"/>
          <w:tblHeader/>
        </w:trPr>
        <w:tc>
          <w:tcPr>
            <w:cnfStyle w:val="001000000000" w:firstRow="0" w:lastRow="0" w:firstColumn="1" w:lastColumn="0" w:oddVBand="0" w:evenVBand="0" w:oddHBand="0" w:evenHBand="0" w:firstRowFirstColumn="0" w:firstRowLastColumn="0" w:lastRowFirstColumn="0" w:lastRowLastColumn="0"/>
            <w:tcW w:w="3345" w:type="dxa"/>
            <w:tcBorders>
              <w:bottom w:val="single" w:sz="4" w:space="0" w:color="auto"/>
            </w:tcBorders>
            <w:noWrap/>
            <w:hideMark/>
          </w:tcPr>
          <w:p w:rsidR="007F2B7C" w:rsidRPr="00C84375" w:rsidRDefault="007F2B7C" w:rsidP="00A543C6">
            <w:pPr>
              <w:rPr>
                <w:b w:val="0"/>
                <w:sz w:val="20"/>
                <w:szCs w:val="20"/>
              </w:rPr>
            </w:pPr>
            <w:r w:rsidRPr="00C84375">
              <w:rPr>
                <w:b w:val="0"/>
                <w:sz w:val="20"/>
                <w:szCs w:val="20"/>
              </w:rPr>
              <w:t>Pollutant name</w:t>
            </w:r>
          </w:p>
        </w:tc>
        <w:tc>
          <w:tcPr>
            <w:cnfStyle w:val="000010000000" w:firstRow="0" w:lastRow="0" w:firstColumn="0" w:lastColumn="0" w:oddVBand="1" w:evenVBand="0" w:oddHBand="0" w:evenHBand="0" w:firstRowFirstColumn="0" w:firstRowLastColumn="0" w:lastRowFirstColumn="0" w:lastRowLastColumn="0"/>
            <w:tcW w:w="1077" w:type="dxa"/>
            <w:tcBorders>
              <w:bottom w:val="single" w:sz="4" w:space="0" w:color="auto"/>
            </w:tcBorders>
            <w:noWrap/>
            <w:hideMark/>
          </w:tcPr>
          <w:p w:rsidR="007F2B7C" w:rsidRPr="00C84375" w:rsidRDefault="007F2B7C" w:rsidP="00A543C6">
            <w:pPr>
              <w:rPr>
                <w:b w:val="0"/>
                <w:i/>
                <w:sz w:val="20"/>
                <w:szCs w:val="20"/>
              </w:rPr>
            </w:pPr>
            <w:r w:rsidRPr="00C84375">
              <w:rPr>
                <w:b w:val="0"/>
                <w:i/>
                <w:sz w:val="20"/>
                <w:szCs w:val="20"/>
              </w:rPr>
              <w:t>Threshold (Kg)</w:t>
            </w:r>
          </w:p>
        </w:tc>
        <w:tc>
          <w:tcPr>
            <w:tcW w:w="1091" w:type="dxa"/>
            <w:tcBorders>
              <w:bottom w:val="single" w:sz="4" w:space="0" w:color="auto"/>
            </w:tcBorders>
            <w:noWrap/>
            <w:hideMark/>
          </w:tcPr>
          <w:p w:rsidR="007F2B7C" w:rsidRPr="00DC1AC0" w:rsidRDefault="007F2B7C" w:rsidP="00A543C6">
            <w:pPr>
              <w:cnfStyle w:val="100000000000" w:firstRow="1" w:lastRow="0" w:firstColumn="0" w:lastColumn="0" w:oddVBand="0" w:evenVBand="0" w:oddHBand="0" w:evenHBand="0" w:firstRowFirstColumn="0" w:firstRowLastColumn="0" w:lastRowFirstColumn="0" w:lastRowLastColumn="0"/>
              <w:rPr>
                <w:sz w:val="20"/>
                <w:szCs w:val="20"/>
              </w:rPr>
            </w:pPr>
            <w:r w:rsidRPr="00DC1AC0">
              <w:rPr>
                <w:sz w:val="20"/>
                <w:szCs w:val="20"/>
              </w:rPr>
              <w:t>Total Release (Kg)</w:t>
            </w:r>
          </w:p>
        </w:tc>
        <w:tc>
          <w:tcPr>
            <w:cnfStyle w:val="000010000000" w:firstRow="0" w:lastRow="0" w:firstColumn="0" w:lastColumn="0" w:oddVBand="1" w:evenVBand="0" w:oddHBand="0" w:evenHBand="0" w:firstRowFirstColumn="0" w:firstRowLastColumn="0" w:lastRowFirstColumn="0" w:lastRowLastColumn="0"/>
            <w:tcW w:w="1091" w:type="dxa"/>
            <w:tcBorders>
              <w:bottom w:val="single" w:sz="4" w:space="0" w:color="auto"/>
            </w:tcBorders>
            <w:hideMark/>
          </w:tcPr>
          <w:p w:rsidR="007F2B7C" w:rsidRPr="00C84375" w:rsidRDefault="007F2B7C" w:rsidP="00A543C6">
            <w:pPr>
              <w:rPr>
                <w:b w:val="0"/>
                <w:sz w:val="20"/>
                <w:szCs w:val="20"/>
              </w:rPr>
            </w:pPr>
            <w:r w:rsidRPr="00C84375">
              <w:rPr>
                <w:b w:val="0"/>
                <w:sz w:val="20"/>
                <w:szCs w:val="20"/>
              </w:rPr>
              <w:t>1 - Energy sector</w:t>
            </w:r>
          </w:p>
        </w:tc>
        <w:tc>
          <w:tcPr>
            <w:tcW w:w="1092" w:type="dxa"/>
            <w:tcBorders>
              <w:bottom w:val="single" w:sz="4" w:space="0" w:color="auto"/>
            </w:tcBorders>
            <w:hideMark/>
          </w:tcPr>
          <w:p w:rsidR="007F2B7C" w:rsidRPr="00C84375" w:rsidRDefault="007F2B7C" w:rsidP="00A543C6">
            <w:pPr>
              <w:cnfStyle w:val="100000000000" w:firstRow="1" w:lastRow="0" w:firstColumn="0" w:lastColumn="0" w:oddVBand="0" w:evenVBand="0" w:oddHBand="0" w:evenHBand="0" w:firstRowFirstColumn="0" w:firstRowLastColumn="0" w:lastRowFirstColumn="0" w:lastRowLastColumn="0"/>
              <w:rPr>
                <w:b w:val="0"/>
                <w:sz w:val="20"/>
                <w:szCs w:val="20"/>
              </w:rPr>
            </w:pPr>
            <w:r w:rsidRPr="00C84375">
              <w:rPr>
                <w:b w:val="0"/>
                <w:sz w:val="20"/>
                <w:szCs w:val="20"/>
              </w:rPr>
              <w:t>2 - Production and processing of metals</w:t>
            </w:r>
          </w:p>
        </w:tc>
        <w:tc>
          <w:tcPr>
            <w:cnfStyle w:val="000010000000" w:firstRow="0" w:lastRow="0" w:firstColumn="0" w:lastColumn="0" w:oddVBand="1" w:evenVBand="0" w:oddHBand="0" w:evenHBand="0" w:firstRowFirstColumn="0" w:firstRowLastColumn="0" w:lastRowFirstColumn="0" w:lastRowLastColumn="0"/>
            <w:tcW w:w="1091" w:type="dxa"/>
            <w:tcBorders>
              <w:bottom w:val="single" w:sz="4" w:space="0" w:color="auto"/>
            </w:tcBorders>
            <w:hideMark/>
          </w:tcPr>
          <w:p w:rsidR="007F2B7C" w:rsidRPr="00C84375" w:rsidRDefault="007F2B7C" w:rsidP="00A543C6">
            <w:pPr>
              <w:rPr>
                <w:b w:val="0"/>
                <w:sz w:val="20"/>
                <w:szCs w:val="20"/>
              </w:rPr>
            </w:pPr>
            <w:r w:rsidRPr="00C84375">
              <w:rPr>
                <w:b w:val="0"/>
                <w:sz w:val="20"/>
                <w:szCs w:val="20"/>
              </w:rPr>
              <w:t>3 - Mineral industry</w:t>
            </w:r>
          </w:p>
        </w:tc>
        <w:tc>
          <w:tcPr>
            <w:tcW w:w="1131" w:type="dxa"/>
            <w:tcBorders>
              <w:bottom w:val="single" w:sz="4" w:space="0" w:color="auto"/>
            </w:tcBorders>
            <w:hideMark/>
          </w:tcPr>
          <w:p w:rsidR="007F2B7C" w:rsidRPr="00C84375" w:rsidRDefault="007F2B7C" w:rsidP="00A543C6">
            <w:pPr>
              <w:cnfStyle w:val="100000000000" w:firstRow="1" w:lastRow="0" w:firstColumn="0" w:lastColumn="0" w:oddVBand="0" w:evenVBand="0" w:oddHBand="0" w:evenHBand="0" w:firstRowFirstColumn="0" w:firstRowLastColumn="0" w:lastRowFirstColumn="0" w:lastRowLastColumn="0"/>
              <w:rPr>
                <w:b w:val="0"/>
                <w:sz w:val="20"/>
                <w:szCs w:val="20"/>
              </w:rPr>
            </w:pPr>
            <w:r w:rsidRPr="00C84375">
              <w:rPr>
                <w:b w:val="0"/>
                <w:sz w:val="20"/>
                <w:szCs w:val="20"/>
              </w:rPr>
              <w:t>4 - Chemical industry</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hideMark/>
          </w:tcPr>
          <w:p w:rsidR="007F2B7C" w:rsidRPr="00C84375" w:rsidRDefault="007F2B7C" w:rsidP="00A543C6">
            <w:pPr>
              <w:rPr>
                <w:b w:val="0"/>
                <w:sz w:val="20"/>
                <w:szCs w:val="20"/>
              </w:rPr>
            </w:pPr>
            <w:r w:rsidRPr="00C84375">
              <w:rPr>
                <w:b w:val="0"/>
                <w:sz w:val="20"/>
                <w:szCs w:val="20"/>
              </w:rPr>
              <w:t>5 - Waste and waste-water m/</w:t>
            </w:r>
            <w:proofErr w:type="spellStart"/>
            <w:r w:rsidRPr="00C84375">
              <w:rPr>
                <w:b w:val="0"/>
                <w:sz w:val="20"/>
                <w:szCs w:val="20"/>
              </w:rPr>
              <w:t>ment</w:t>
            </w:r>
            <w:proofErr w:type="spellEnd"/>
          </w:p>
        </w:tc>
        <w:tc>
          <w:tcPr>
            <w:tcW w:w="1009" w:type="dxa"/>
            <w:tcBorders>
              <w:bottom w:val="single" w:sz="4" w:space="0" w:color="auto"/>
            </w:tcBorders>
            <w:hideMark/>
          </w:tcPr>
          <w:p w:rsidR="007F2B7C" w:rsidRPr="00C84375" w:rsidRDefault="007F2B7C" w:rsidP="00A543C6">
            <w:pPr>
              <w:cnfStyle w:val="100000000000" w:firstRow="1" w:lastRow="0" w:firstColumn="0" w:lastColumn="0" w:oddVBand="0" w:evenVBand="0" w:oddHBand="0" w:evenHBand="0" w:firstRowFirstColumn="0" w:firstRowLastColumn="0" w:lastRowFirstColumn="0" w:lastRowLastColumn="0"/>
              <w:rPr>
                <w:b w:val="0"/>
                <w:sz w:val="20"/>
                <w:szCs w:val="20"/>
              </w:rPr>
            </w:pPr>
            <w:r w:rsidRPr="00C84375">
              <w:rPr>
                <w:b w:val="0"/>
                <w:sz w:val="20"/>
                <w:szCs w:val="20"/>
              </w:rPr>
              <w:t>6 - Paper and wood production and processing</w:t>
            </w:r>
          </w:p>
        </w:tc>
        <w:tc>
          <w:tcPr>
            <w:cnfStyle w:val="000010000000" w:firstRow="0" w:lastRow="0" w:firstColumn="0" w:lastColumn="0" w:oddVBand="1" w:evenVBand="0" w:oddHBand="0" w:evenHBand="0" w:firstRowFirstColumn="0" w:firstRowLastColumn="0" w:lastRowFirstColumn="0" w:lastRowLastColumn="0"/>
            <w:tcW w:w="1117" w:type="dxa"/>
            <w:tcBorders>
              <w:bottom w:val="single" w:sz="4" w:space="0" w:color="auto"/>
            </w:tcBorders>
            <w:hideMark/>
          </w:tcPr>
          <w:p w:rsidR="007F2B7C" w:rsidRPr="00C84375" w:rsidRDefault="007F2B7C" w:rsidP="00A543C6">
            <w:pPr>
              <w:rPr>
                <w:b w:val="0"/>
                <w:sz w:val="20"/>
                <w:szCs w:val="20"/>
              </w:rPr>
            </w:pPr>
            <w:r w:rsidRPr="00C84375">
              <w:rPr>
                <w:b w:val="0"/>
                <w:sz w:val="20"/>
                <w:szCs w:val="20"/>
              </w:rPr>
              <w:t>7 - Intensive livestock production and aquaculture</w:t>
            </w:r>
          </w:p>
        </w:tc>
        <w:tc>
          <w:tcPr>
            <w:tcW w:w="1066" w:type="dxa"/>
            <w:tcBorders>
              <w:bottom w:val="single" w:sz="4" w:space="0" w:color="auto"/>
            </w:tcBorders>
            <w:hideMark/>
          </w:tcPr>
          <w:p w:rsidR="007F2B7C" w:rsidRPr="00C84375" w:rsidRDefault="007F2B7C" w:rsidP="00A543C6">
            <w:pPr>
              <w:cnfStyle w:val="100000000000" w:firstRow="1" w:lastRow="0" w:firstColumn="0" w:lastColumn="0" w:oddVBand="0" w:evenVBand="0" w:oddHBand="0" w:evenHBand="0" w:firstRowFirstColumn="0" w:firstRowLastColumn="0" w:lastRowFirstColumn="0" w:lastRowLastColumn="0"/>
              <w:rPr>
                <w:b w:val="0"/>
                <w:sz w:val="20"/>
                <w:szCs w:val="20"/>
              </w:rPr>
            </w:pPr>
            <w:r w:rsidRPr="00C84375">
              <w:rPr>
                <w:b w:val="0"/>
                <w:sz w:val="20"/>
                <w:szCs w:val="20"/>
              </w:rPr>
              <w:t>8 - Animal and vegetable products from the food and beverage sector</w:t>
            </w:r>
          </w:p>
        </w:tc>
        <w:tc>
          <w:tcPr>
            <w:cnfStyle w:val="000010000000" w:firstRow="0" w:lastRow="0" w:firstColumn="0" w:lastColumn="0" w:oddVBand="1" w:evenVBand="0" w:oddHBand="0" w:evenHBand="0" w:firstRowFirstColumn="0" w:firstRowLastColumn="0" w:lastRowFirstColumn="0" w:lastRowLastColumn="0"/>
            <w:tcW w:w="1092" w:type="dxa"/>
            <w:tcBorders>
              <w:bottom w:val="single" w:sz="4" w:space="0" w:color="auto"/>
            </w:tcBorders>
            <w:hideMark/>
          </w:tcPr>
          <w:p w:rsidR="007F2B7C" w:rsidRPr="00C84375" w:rsidRDefault="007F2B7C" w:rsidP="00A543C6">
            <w:pPr>
              <w:rPr>
                <w:b w:val="0"/>
                <w:sz w:val="20"/>
                <w:szCs w:val="20"/>
              </w:rPr>
            </w:pPr>
            <w:r w:rsidRPr="00C84375">
              <w:rPr>
                <w:b w:val="0"/>
                <w:sz w:val="20"/>
                <w:szCs w:val="20"/>
              </w:rPr>
              <w:t>9 - Other activities</w:t>
            </w:r>
          </w:p>
        </w:tc>
      </w:tr>
      <w:tr w:rsidR="007F2B7C" w:rsidRPr="00C84375" w:rsidTr="003C6D07">
        <w:trPr>
          <w:trHeight w:val="300"/>
        </w:trPr>
        <w:tc>
          <w:tcPr>
            <w:cnfStyle w:val="001000000000" w:firstRow="0" w:lastRow="0" w:firstColumn="1" w:lastColumn="0" w:oddVBand="0" w:evenVBand="0" w:oddHBand="0" w:evenHBand="0" w:firstRowFirstColumn="0" w:firstRowLastColumn="0" w:lastRowFirstColumn="0" w:lastRowLastColumn="0"/>
            <w:tcW w:w="3345" w:type="dxa"/>
            <w:tcBorders>
              <w:top w:val="single" w:sz="4" w:space="0" w:color="auto"/>
            </w:tcBorders>
            <w:noWrap/>
            <w:hideMark/>
          </w:tcPr>
          <w:p w:rsidR="007F2B7C" w:rsidRPr="00C84375" w:rsidRDefault="007F2B7C" w:rsidP="00A543C6">
            <w:pPr>
              <w:rPr>
                <w:b w:val="0"/>
                <w:sz w:val="20"/>
                <w:szCs w:val="20"/>
              </w:rPr>
            </w:pPr>
            <w:r w:rsidRPr="00C84375">
              <w:rPr>
                <w:b w:val="0"/>
                <w:sz w:val="20"/>
                <w:szCs w:val="20"/>
              </w:rPr>
              <w:t xml:space="preserve">Ammonia </w:t>
            </w:r>
          </w:p>
        </w:tc>
        <w:tc>
          <w:tcPr>
            <w:cnfStyle w:val="000010000000" w:firstRow="0" w:lastRow="0" w:firstColumn="0" w:lastColumn="0" w:oddVBand="1" w:evenVBand="0" w:oddHBand="0" w:evenHBand="0" w:firstRowFirstColumn="0" w:firstRowLastColumn="0" w:lastRowFirstColumn="0" w:lastRowLastColumn="0"/>
            <w:tcW w:w="1077" w:type="dxa"/>
            <w:tcBorders>
              <w:top w:val="single" w:sz="4" w:space="0" w:color="auto"/>
            </w:tcBorders>
            <w:noWrap/>
            <w:hideMark/>
          </w:tcPr>
          <w:p w:rsidR="007F2B7C" w:rsidRPr="00C84375" w:rsidRDefault="007F2B7C" w:rsidP="00A543C6">
            <w:pPr>
              <w:jc w:val="right"/>
              <w:rPr>
                <w:i/>
                <w:sz w:val="20"/>
                <w:szCs w:val="20"/>
              </w:rPr>
            </w:pPr>
            <w:r w:rsidRPr="00C84375">
              <w:rPr>
                <w:i/>
                <w:sz w:val="20"/>
                <w:szCs w:val="20"/>
              </w:rPr>
              <w:t>1,000</w:t>
            </w:r>
          </w:p>
        </w:tc>
        <w:tc>
          <w:tcPr>
            <w:tcW w:w="1091" w:type="dxa"/>
            <w:tcBorders>
              <w:top w:val="single" w:sz="4" w:space="0" w:color="auto"/>
            </w:tcBorders>
            <w:noWrap/>
            <w:hideMark/>
          </w:tcPr>
          <w:p w:rsidR="007F2B7C" w:rsidRPr="00DC1AC0" w:rsidRDefault="007F2B7C" w:rsidP="00A543C6">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894,705</w:t>
            </w:r>
          </w:p>
        </w:tc>
        <w:tc>
          <w:tcPr>
            <w:cnfStyle w:val="000010000000" w:firstRow="0" w:lastRow="0" w:firstColumn="0" w:lastColumn="0" w:oddVBand="1" w:evenVBand="0" w:oddHBand="0" w:evenHBand="0" w:firstRowFirstColumn="0" w:firstRowLastColumn="0" w:lastRowFirstColumn="0" w:lastRowLastColumn="0"/>
            <w:tcW w:w="1091" w:type="dxa"/>
            <w:tcBorders>
              <w:top w:val="single" w:sz="4" w:space="0" w:color="auto"/>
            </w:tcBorders>
            <w:noWrap/>
            <w:hideMark/>
          </w:tcPr>
          <w:p w:rsidR="007F2B7C" w:rsidRPr="00C84375" w:rsidRDefault="007F2B7C" w:rsidP="00A543C6">
            <w:pPr>
              <w:jc w:val="right"/>
              <w:rPr>
                <w:sz w:val="20"/>
                <w:szCs w:val="20"/>
              </w:rPr>
            </w:pPr>
          </w:p>
        </w:tc>
        <w:tc>
          <w:tcPr>
            <w:tcW w:w="1092" w:type="dxa"/>
            <w:tcBorders>
              <w:top w:val="single" w:sz="4" w:space="0" w:color="auto"/>
            </w:tcBorders>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tcBorders>
              <w:top w:val="single" w:sz="4" w:space="0" w:color="auto"/>
            </w:tcBorders>
            <w:noWrap/>
            <w:hideMark/>
          </w:tcPr>
          <w:p w:rsidR="007F2B7C" w:rsidRPr="00C84375" w:rsidRDefault="007F2B7C" w:rsidP="00A543C6">
            <w:pPr>
              <w:jc w:val="right"/>
              <w:rPr>
                <w:sz w:val="20"/>
                <w:szCs w:val="20"/>
              </w:rPr>
            </w:pPr>
            <w:r w:rsidRPr="00C84375">
              <w:rPr>
                <w:sz w:val="20"/>
                <w:szCs w:val="20"/>
              </w:rPr>
              <w:t>31,105</w:t>
            </w:r>
          </w:p>
        </w:tc>
        <w:tc>
          <w:tcPr>
            <w:tcW w:w="1131" w:type="dxa"/>
            <w:tcBorders>
              <w:top w:val="single" w:sz="4" w:space="0" w:color="auto"/>
            </w:tcBorders>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6,050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noWrap/>
            <w:hideMark/>
          </w:tcPr>
          <w:p w:rsidR="007F2B7C" w:rsidRPr="00C84375" w:rsidRDefault="007F2B7C" w:rsidP="00A543C6">
            <w:pPr>
              <w:jc w:val="right"/>
              <w:rPr>
                <w:sz w:val="20"/>
                <w:szCs w:val="20"/>
              </w:rPr>
            </w:pPr>
            <w:r w:rsidRPr="00C84375">
              <w:rPr>
                <w:sz w:val="20"/>
                <w:szCs w:val="20"/>
              </w:rPr>
              <w:t>18,128</w:t>
            </w:r>
          </w:p>
        </w:tc>
        <w:tc>
          <w:tcPr>
            <w:tcW w:w="1009" w:type="dxa"/>
            <w:tcBorders>
              <w:top w:val="single" w:sz="4" w:space="0" w:color="auto"/>
            </w:tcBorders>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1,752</w:t>
            </w:r>
          </w:p>
        </w:tc>
        <w:tc>
          <w:tcPr>
            <w:cnfStyle w:val="000010000000" w:firstRow="0" w:lastRow="0" w:firstColumn="0" w:lastColumn="0" w:oddVBand="1" w:evenVBand="0" w:oddHBand="0" w:evenHBand="0" w:firstRowFirstColumn="0" w:firstRowLastColumn="0" w:lastRowFirstColumn="0" w:lastRowLastColumn="0"/>
            <w:tcW w:w="1117" w:type="dxa"/>
            <w:tcBorders>
              <w:top w:val="single" w:sz="4" w:space="0" w:color="auto"/>
            </w:tcBorders>
            <w:noWrap/>
            <w:hideMark/>
          </w:tcPr>
          <w:p w:rsidR="007F2B7C" w:rsidRPr="00C84375" w:rsidRDefault="007F2B7C" w:rsidP="00A543C6">
            <w:pPr>
              <w:jc w:val="right"/>
              <w:rPr>
                <w:sz w:val="20"/>
                <w:szCs w:val="20"/>
              </w:rPr>
            </w:pPr>
            <w:r w:rsidRPr="00C84375">
              <w:rPr>
                <w:sz w:val="20"/>
                <w:szCs w:val="20"/>
              </w:rPr>
              <w:t>837,670</w:t>
            </w:r>
          </w:p>
        </w:tc>
        <w:tc>
          <w:tcPr>
            <w:tcW w:w="1066" w:type="dxa"/>
            <w:tcBorders>
              <w:top w:val="single" w:sz="4" w:space="0" w:color="auto"/>
            </w:tcBorders>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tcBorders>
              <w:top w:val="single" w:sz="4" w:space="0" w:color="auto"/>
            </w:tcBorders>
            <w:noWrap/>
            <w:hideMark/>
          </w:tcPr>
          <w:p w:rsidR="007F2B7C" w:rsidRPr="00C84375" w:rsidRDefault="007F2B7C" w:rsidP="00A543C6">
            <w:pPr>
              <w:jc w:val="right"/>
              <w:rPr>
                <w:sz w:val="20"/>
                <w:szCs w:val="20"/>
              </w:rPr>
            </w:pPr>
          </w:p>
        </w:tc>
      </w:tr>
      <w:tr w:rsidR="007F2B7C"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7F2B7C" w:rsidRPr="00C84375" w:rsidRDefault="007F2B7C" w:rsidP="00A543C6">
            <w:pPr>
              <w:rPr>
                <w:b w:val="0"/>
                <w:sz w:val="20"/>
                <w:szCs w:val="20"/>
              </w:rPr>
            </w:pPr>
            <w:r w:rsidRPr="00C84375">
              <w:rPr>
                <w:b w:val="0"/>
                <w:sz w:val="20"/>
                <w:szCs w:val="20"/>
              </w:rPr>
              <w:t>Antimony</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7F2B7C" w:rsidRPr="00C84375" w:rsidRDefault="007F2B7C" w:rsidP="00A543C6">
            <w:pPr>
              <w:jc w:val="right"/>
              <w:rPr>
                <w:i/>
                <w:sz w:val="20"/>
                <w:szCs w:val="20"/>
              </w:rPr>
            </w:pPr>
            <w:r w:rsidRPr="00C84375">
              <w:rPr>
                <w:i/>
                <w:sz w:val="20"/>
                <w:szCs w:val="20"/>
              </w:rPr>
              <w:t>1</w:t>
            </w:r>
          </w:p>
        </w:tc>
        <w:tc>
          <w:tcPr>
            <w:tcW w:w="1091" w:type="dxa"/>
            <w:noWrap/>
            <w:hideMark/>
          </w:tcPr>
          <w:p w:rsidR="007F2B7C" w:rsidRPr="00DC1AC0" w:rsidRDefault="007F2B7C" w:rsidP="00A543C6">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67.0</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r w:rsidRPr="00C84375">
              <w:rPr>
                <w:sz w:val="20"/>
                <w:szCs w:val="20"/>
              </w:rPr>
              <w:t>2.4</w:t>
            </w:r>
          </w:p>
        </w:tc>
        <w:tc>
          <w:tcPr>
            <w:tcW w:w="1092"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r w:rsidRPr="00C84375">
              <w:rPr>
                <w:sz w:val="20"/>
                <w:szCs w:val="20"/>
              </w:rPr>
              <w:t>2.35</w:t>
            </w:r>
          </w:p>
        </w:tc>
        <w:tc>
          <w:tcPr>
            <w:tcW w:w="1131"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7F2B7C" w:rsidRPr="00C84375" w:rsidRDefault="007F2B7C" w:rsidP="00A543C6">
            <w:pPr>
              <w:jc w:val="right"/>
              <w:rPr>
                <w:sz w:val="20"/>
                <w:szCs w:val="20"/>
              </w:rPr>
            </w:pPr>
            <w:r w:rsidRPr="00C84375">
              <w:rPr>
                <w:sz w:val="20"/>
                <w:szCs w:val="20"/>
              </w:rPr>
              <w:t>37.9</w:t>
            </w:r>
          </w:p>
        </w:tc>
        <w:tc>
          <w:tcPr>
            <w:tcW w:w="1009"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24.4</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7F2B7C" w:rsidRPr="00C84375" w:rsidRDefault="007F2B7C" w:rsidP="00A543C6">
            <w:pPr>
              <w:jc w:val="right"/>
              <w:rPr>
                <w:sz w:val="20"/>
                <w:szCs w:val="20"/>
              </w:rPr>
            </w:pPr>
          </w:p>
        </w:tc>
        <w:tc>
          <w:tcPr>
            <w:tcW w:w="1066"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7F2B7C" w:rsidRPr="00C84375" w:rsidRDefault="007F2B7C" w:rsidP="00A543C6">
            <w:pPr>
              <w:jc w:val="right"/>
              <w:rPr>
                <w:sz w:val="20"/>
                <w:szCs w:val="20"/>
              </w:rPr>
            </w:pPr>
          </w:p>
        </w:tc>
      </w:tr>
      <w:tr w:rsidR="007F2B7C"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7F2B7C" w:rsidRPr="00C84375" w:rsidRDefault="007F2B7C" w:rsidP="00A543C6">
            <w:pPr>
              <w:rPr>
                <w:b w:val="0"/>
                <w:sz w:val="20"/>
                <w:szCs w:val="20"/>
              </w:rPr>
            </w:pPr>
            <w:r w:rsidRPr="00C84375">
              <w:rPr>
                <w:b w:val="0"/>
                <w:sz w:val="20"/>
                <w:szCs w:val="20"/>
              </w:rPr>
              <w:t>Arsenic</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7F2B7C" w:rsidRPr="00C84375" w:rsidRDefault="007F2B7C" w:rsidP="00A543C6">
            <w:pPr>
              <w:jc w:val="right"/>
              <w:rPr>
                <w:i/>
                <w:sz w:val="20"/>
                <w:szCs w:val="20"/>
              </w:rPr>
            </w:pPr>
            <w:r w:rsidRPr="00C84375">
              <w:rPr>
                <w:i/>
                <w:sz w:val="20"/>
                <w:szCs w:val="20"/>
              </w:rPr>
              <w:t>1</w:t>
            </w:r>
          </w:p>
        </w:tc>
        <w:tc>
          <w:tcPr>
            <w:tcW w:w="1091" w:type="dxa"/>
            <w:noWrap/>
            <w:hideMark/>
          </w:tcPr>
          <w:p w:rsidR="007F2B7C" w:rsidRPr="00DC1AC0" w:rsidRDefault="007F2B7C" w:rsidP="00A543C6">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56.2</w:t>
            </w:r>
            <w:r w:rsidR="00166A8E">
              <w:rPr>
                <w:b/>
                <w:sz w:val="20"/>
                <w:szCs w:val="20"/>
              </w:rPr>
              <w:t>4</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r w:rsidRPr="00C84375">
              <w:rPr>
                <w:sz w:val="20"/>
                <w:szCs w:val="20"/>
              </w:rPr>
              <w:t>2.0</w:t>
            </w:r>
          </w:p>
        </w:tc>
        <w:tc>
          <w:tcPr>
            <w:tcW w:w="1092"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r w:rsidRPr="00C84375">
              <w:rPr>
                <w:sz w:val="20"/>
                <w:szCs w:val="20"/>
              </w:rPr>
              <w:t>30.2</w:t>
            </w:r>
          </w:p>
        </w:tc>
        <w:tc>
          <w:tcPr>
            <w:tcW w:w="1131"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7F2B7C" w:rsidRPr="00C84375" w:rsidRDefault="007F2B7C" w:rsidP="00A543C6">
            <w:pPr>
              <w:jc w:val="right"/>
              <w:rPr>
                <w:sz w:val="20"/>
                <w:szCs w:val="20"/>
              </w:rPr>
            </w:pPr>
            <w:r w:rsidRPr="00C84375">
              <w:rPr>
                <w:sz w:val="20"/>
                <w:szCs w:val="20"/>
              </w:rPr>
              <w:t>2.67</w:t>
            </w:r>
          </w:p>
        </w:tc>
        <w:tc>
          <w:tcPr>
            <w:tcW w:w="1009"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21.4</w:t>
            </w:r>
            <w:r w:rsidR="00166A8E">
              <w:rPr>
                <w:sz w:val="20"/>
                <w:szCs w:val="20"/>
              </w:rPr>
              <w:t>2</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7F2B7C" w:rsidRPr="00C84375" w:rsidRDefault="007F2B7C" w:rsidP="00A543C6">
            <w:pPr>
              <w:jc w:val="right"/>
              <w:rPr>
                <w:sz w:val="20"/>
                <w:szCs w:val="20"/>
              </w:rPr>
            </w:pPr>
          </w:p>
        </w:tc>
        <w:tc>
          <w:tcPr>
            <w:tcW w:w="1066"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7F2B7C" w:rsidRPr="00C84375" w:rsidRDefault="007F2B7C" w:rsidP="00A543C6">
            <w:pPr>
              <w:jc w:val="right"/>
              <w:rPr>
                <w:sz w:val="20"/>
                <w:szCs w:val="20"/>
              </w:rPr>
            </w:pPr>
          </w:p>
        </w:tc>
      </w:tr>
      <w:tr w:rsidR="007F2B7C"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7F2B7C" w:rsidRPr="00C84375" w:rsidRDefault="007F2B7C" w:rsidP="00A543C6">
            <w:pPr>
              <w:rPr>
                <w:b w:val="0"/>
                <w:sz w:val="20"/>
                <w:szCs w:val="20"/>
              </w:rPr>
            </w:pPr>
            <w:r w:rsidRPr="00C84375">
              <w:rPr>
                <w:b w:val="0"/>
                <w:sz w:val="20"/>
                <w:szCs w:val="20"/>
              </w:rPr>
              <w:t>Benzene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7F2B7C" w:rsidRPr="00C84375" w:rsidRDefault="007F2B7C" w:rsidP="00A543C6">
            <w:pPr>
              <w:jc w:val="right"/>
              <w:rPr>
                <w:i/>
                <w:sz w:val="20"/>
                <w:szCs w:val="20"/>
              </w:rPr>
            </w:pPr>
            <w:r w:rsidRPr="00C84375">
              <w:rPr>
                <w:i/>
                <w:sz w:val="20"/>
                <w:szCs w:val="20"/>
              </w:rPr>
              <w:t>1,000</w:t>
            </w:r>
          </w:p>
        </w:tc>
        <w:tc>
          <w:tcPr>
            <w:tcW w:w="1091" w:type="dxa"/>
            <w:noWrap/>
            <w:hideMark/>
          </w:tcPr>
          <w:p w:rsidR="007F2B7C" w:rsidRPr="00DC1AC0" w:rsidRDefault="007F2B7C" w:rsidP="00A543C6">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160,547</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r w:rsidRPr="00C84375">
              <w:rPr>
                <w:sz w:val="20"/>
                <w:szCs w:val="20"/>
              </w:rPr>
              <w:t>145,065</w:t>
            </w:r>
          </w:p>
        </w:tc>
        <w:tc>
          <w:tcPr>
            <w:tcW w:w="1092"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p>
        </w:tc>
        <w:tc>
          <w:tcPr>
            <w:tcW w:w="1131"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15,482</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7F2B7C" w:rsidRPr="00C84375" w:rsidRDefault="007F2B7C" w:rsidP="00A543C6">
            <w:pPr>
              <w:jc w:val="right"/>
              <w:rPr>
                <w:sz w:val="20"/>
                <w:szCs w:val="20"/>
              </w:rPr>
            </w:pPr>
          </w:p>
        </w:tc>
        <w:tc>
          <w:tcPr>
            <w:tcW w:w="1009"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7F2B7C" w:rsidRPr="00C84375" w:rsidRDefault="007F2B7C" w:rsidP="00A543C6">
            <w:pPr>
              <w:jc w:val="right"/>
              <w:rPr>
                <w:sz w:val="20"/>
                <w:szCs w:val="20"/>
              </w:rPr>
            </w:pPr>
          </w:p>
        </w:tc>
        <w:tc>
          <w:tcPr>
            <w:tcW w:w="1066"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7F2B7C" w:rsidRPr="00C84375" w:rsidRDefault="007F2B7C" w:rsidP="00A543C6">
            <w:pPr>
              <w:jc w:val="right"/>
              <w:rPr>
                <w:sz w:val="20"/>
                <w:szCs w:val="20"/>
              </w:rPr>
            </w:pPr>
          </w:p>
        </w:tc>
      </w:tr>
      <w:tr w:rsidR="007F2B7C"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7F2B7C" w:rsidRPr="00C84375" w:rsidRDefault="007F2B7C" w:rsidP="00A543C6">
            <w:pPr>
              <w:rPr>
                <w:b w:val="0"/>
                <w:sz w:val="20"/>
                <w:szCs w:val="20"/>
              </w:rPr>
            </w:pPr>
            <w:r w:rsidRPr="00C84375">
              <w:rPr>
                <w:b w:val="0"/>
                <w:sz w:val="20"/>
                <w:szCs w:val="20"/>
              </w:rPr>
              <w:t>Butadiene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7F2B7C" w:rsidRPr="00C84375" w:rsidRDefault="007F2B7C" w:rsidP="00A543C6">
            <w:pPr>
              <w:jc w:val="right"/>
              <w:rPr>
                <w:i/>
                <w:sz w:val="20"/>
                <w:szCs w:val="20"/>
              </w:rPr>
            </w:pPr>
            <w:r w:rsidRPr="00C84375">
              <w:rPr>
                <w:i/>
                <w:sz w:val="20"/>
                <w:szCs w:val="20"/>
              </w:rPr>
              <w:t>100</w:t>
            </w:r>
          </w:p>
        </w:tc>
        <w:tc>
          <w:tcPr>
            <w:tcW w:w="1091" w:type="dxa"/>
            <w:noWrap/>
            <w:hideMark/>
          </w:tcPr>
          <w:p w:rsidR="007F2B7C" w:rsidRPr="00DC1AC0" w:rsidRDefault="007F2B7C" w:rsidP="00A543C6">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61,515</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r w:rsidRPr="00C84375">
              <w:rPr>
                <w:sz w:val="20"/>
                <w:szCs w:val="20"/>
              </w:rPr>
              <w:t>35,343</w:t>
            </w:r>
          </w:p>
        </w:tc>
        <w:tc>
          <w:tcPr>
            <w:tcW w:w="1092"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p>
        </w:tc>
        <w:tc>
          <w:tcPr>
            <w:tcW w:w="1131"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26,172</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7F2B7C" w:rsidRPr="00C84375" w:rsidRDefault="007F2B7C" w:rsidP="00A543C6">
            <w:pPr>
              <w:jc w:val="right"/>
              <w:rPr>
                <w:sz w:val="20"/>
                <w:szCs w:val="20"/>
              </w:rPr>
            </w:pPr>
          </w:p>
        </w:tc>
        <w:tc>
          <w:tcPr>
            <w:tcW w:w="1009"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7F2B7C" w:rsidRPr="00C84375" w:rsidRDefault="007F2B7C" w:rsidP="00A543C6">
            <w:pPr>
              <w:jc w:val="right"/>
              <w:rPr>
                <w:sz w:val="20"/>
                <w:szCs w:val="20"/>
              </w:rPr>
            </w:pPr>
          </w:p>
        </w:tc>
        <w:tc>
          <w:tcPr>
            <w:tcW w:w="1066"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7F2B7C" w:rsidRPr="00C84375" w:rsidRDefault="007F2B7C" w:rsidP="00A543C6">
            <w:pPr>
              <w:jc w:val="right"/>
              <w:rPr>
                <w:sz w:val="20"/>
                <w:szCs w:val="20"/>
              </w:rPr>
            </w:pPr>
          </w:p>
        </w:tc>
      </w:tr>
      <w:tr w:rsidR="007F2B7C"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7F2B7C" w:rsidRPr="00C84375" w:rsidRDefault="007F2B7C" w:rsidP="00A543C6">
            <w:pPr>
              <w:rPr>
                <w:b w:val="0"/>
                <w:sz w:val="20"/>
                <w:szCs w:val="20"/>
              </w:rPr>
            </w:pPr>
            <w:r w:rsidRPr="00C84375">
              <w:rPr>
                <w:b w:val="0"/>
                <w:sz w:val="20"/>
                <w:szCs w:val="20"/>
              </w:rPr>
              <w:t>Cadmium</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7F2B7C" w:rsidRPr="00C84375" w:rsidRDefault="007F2B7C" w:rsidP="00A543C6">
            <w:pPr>
              <w:jc w:val="right"/>
              <w:rPr>
                <w:i/>
                <w:sz w:val="20"/>
                <w:szCs w:val="20"/>
              </w:rPr>
            </w:pPr>
            <w:r w:rsidRPr="00C84375">
              <w:rPr>
                <w:i/>
                <w:sz w:val="20"/>
                <w:szCs w:val="20"/>
              </w:rPr>
              <w:t>1</w:t>
            </w:r>
          </w:p>
        </w:tc>
        <w:tc>
          <w:tcPr>
            <w:tcW w:w="1091" w:type="dxa"/>
            <w:noWrap/>
            <w:hideMark/>
          </w:tcPr>
          <w:p w:rsidR="007F2B7C" w:rsidRPr="00DC1AC0" w:rsidRDefault="00166A8E" w:rsidP="00A543C6">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14.98</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p>
        </w:tc>
        <w:tc>
          <w:tcPr>
            <w:tcW w:w="1092"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sz w:val="20"/>
                <w:szCs w:val="20"/>
              </w:rPr>
            </w:pPr>
            <w:r w:rsidRPr="00C84375">
              <w:rPr>
                <w:sz w:val="20"/>
                <w:szCs w:val="20"/>
              </w:rPr>
              <w:t>1.51</w:t>
            </w:r>
          </w:p>
        </w:tc>
        <w:tc>
          <w:tcPr>
            <w:tcW w:w="1131"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7F2B7C" w:rsidRPr="00C84375" w:rsidRDefault="007F2B7C" w:rsidP="00A543C6">
            <w:pPr>
              <w:jc w:val="right"/>
              <w:rPr>
                <w:sz w:val="20"/>
                <w:szCs w:val="20"/>
              </w:rPr>
            </w:pPr>
            <w:r w:rsidRPr="00C84375">
              <w:rPr>
                <w:sz w:val="20"/>
                <w:szCs w:val="20"/>
              </w:rPr>
              <w:t>8.31</w:t>
            </w:r>
          </w:p>
        </w:tc>
        <w:tc>
          <w:tcPr>
            <w:tcW w:w="1009"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5.16</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7F2B7C" w:rsidRPr="00C84375" w:rsidRDefault="007F2B7C" w:rsidP="00A543C6">
            <w:pPr>
              <w:jc w:val="right"/>
              <w:rPr>
                <w:sz w:val="20"/>
                <w:szCs w:val="20"/>
              </w:rPr>
            </w:pPr>
          </w:p>
        </w:tc>
        <w:tc>
          <w:tcPr>
            <w:tcW w:w="1066"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7F2B7C" w:rsidRPr="00C84375" w:rsidRDefault="007F2B7C" w:rsidP="00A543C6">
            <w:pPr>
              <w:jc w:val="right"/>
              <w:rPr>
                <w:sz w:val="20"/>
                <w:szCs w:val="20"/>
              </w:rPr>
            </w:pPr>
          </w:p>
        </w:tc>
      </w:tr>
      <w:tr w:rsidR="007F2B7C"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7F2B7C" w:rsidRPr="00C84375" w:rsidRDefault="007F2B7C" w:rsidP="00A543C6">
            <w:pPr>
              <w:rPr>
                <w:b w:val="0"/>
                <w:i/>
                <w:sz w:val="20"/>
                <w:szCs w:val="20"/>
              </w:rPr>
            </w:pPr>
            <w:r w:rsidRPr="00C84375">
              <w:rPr>
                <w:b w:val="0"/>
                <w:i/>
                <w:sz w:val="20"/>
                <w:szCs w:val="20"/>
              </w:rPr>
              <w:t>Carbon dioxide (tonnes)</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7F2B7C" w:rsidRPr="00C84375" w:rsidRDefault="00C84375" w:rsidP="00C84375">
            <w:pPr>
              <w:jc w:val="right"/>
              <w:rPr>
                <w:i/>
                <w:sz w:val="20"/>
                <w:szCs w:val="20"/>
              </w:rPr>
            </w:pPr>
            <w:r w:rsidRPr="00C84375">
              <w:rPr>
                <w:i/>
                <w:sz w:val="20"/>
                <w:szCs w:val="20"/>
              </w:rPr>
              <w:t>10,000 t</w:t>
            </w:r>
          </w:p>
        </w:tc>
        <w:tc>
          <w:tcPr>
            <w:tcW w:w="1091" w:type="dxa"/>
            <w:noWrap/>
            <w:hideMark/>
          </w:tcPr>
          <w:p w:rsidR="007F2B7C" w:rsidRPr="00DC1AC0" w:rsidRDefault="007F2B7C" w:rsidP="00D37013">
            <w:pPr>
              <w:jc w:val="right"/>
              <w:cnfStyle w:val="000000000000" w:firstRow="0" w:lastRow="0" w:firstColumn="0" w:lastColumn="0" w:oddVBand="0" w:evenVBand="0" w:oddHBand="0" w:evenHBand="0" w:firstRowFirstColumn="0" w:firstRowLastColumn="0" w:lastRowFirstColumn="0" w:lastRowLastColumn="0"/>
              <w:rPr>
                <w:b/>
                <w:i/>
                <w:sz w:val="20"/>
                <w:szCs w:val="20"/>
              </w:rPr>
            </w:pPr>
            <w:r w:rsidRPr="00DC1AC0">
              <w:rPr>
                <w:b/>
                <w:i/>
                <w:sz w:val="20"/>
                <w:szCs w:val="20"/>
              </w:rPr>
              <w:t>11,</w:t>
            </w:r>
            <w:r w:rsidR="0078670B" w:rsidRPr="00DC1AC0">
              <w:rPr>
                <w:b/>
                <w:i/>
                <w:sz w:val="20"/>
                <w:szCs w:val="20"/>
              </w:rPr>
              <w:t>293,14</w:t>
            </w:r>
            <w:r w:rsidR="00D37013" w:rsidRPr="00DC1AC0">
              <w:rPr>
                <w:b/>
                <w:i/>
                <w:sz w:val="20"/>
                <w:szCs w:val="20"/>
              </w:rPr>
              <w:t>6</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A543C6">
            <w:pPr>
              <w:jc w:val="right"/>
              <w:rPr>
                <w:i/>
                <w:sz w:val="20"/>
                <w:szCs w:val="20"/>
              </w:rPr>
            </w:pPr>
            <w:r w:rsidRPr="00C84375">
              <w:rPr>
                <w:i/>
                <w:sz w:val="20"/>
                <w:szCs w:val="20"/>
              </w:rPr>
              <w:t>6,594,075</w:t>
            </w:r>
          </w:p>
        </w:tc>
        <w:tc>
          <w:tcPr>
            <w:tcW w:w="1092"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i/>
                <w:sz w:val="20"/>
                <w:szCs w:val="20"/>
              </w:rPr>
            </w:pPr>
            <w:r w:rsidRPr="00C84375">
              <w:rPr>
                <w:i/>
                <w:sz w:val="20"/>
                <w:szCs w:val="20"/>
              </w:rPr>
              <w:t>78,402</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7F2B7C" w:rsidRPr="00C84375" w:rsidRDefault="007F2B7C" w:rsidP="00166A8E">
            <w:pPr>
              <w:jc w:val="right"/>
              <w:rPr>
                <w:i/>
                <w:sz w:val="20"/>
                <w:szCs w:val="20"/>
              </w:rPr>
            </w:pPr>
            <w:r w:rsidRPr="00C84375">
              <w:rPr>
                <w:i/>
                <w:sz w:val="20"/>
                <w:szCs w:val="20"/>
              </w:rPr>
              <w:t>827,41</w:t>
            </w:r>
            <w:r w:rsidR="00166A8E">
              <w:rPr>
                <w:i/>
                <w:sz w:val="20"/>
                <w:szCs w:val="20"/>
              </w:rPr>
              <w:t>2</w:t>
            </w:r>
          </w:p>
        </w:tc>
        <w:tc>
          <w:tcPr>
            <w:tcW w:w="1131" w:type="dxa"/>
            <w:noWrap/>
            <w:hideMark/>
          </w:tcPr>
          <w:p w:rsidR="007F2B7C" w:rsidRPr="00C84375" w:rsidRDefault="00D37013" w:rsidP="00A543C6">
            <w:pPr>
              <w:jc w:val="right"/>
              <w:cnfStyle w:val="000000000000" w:firstRow="0" w:lastRow="0" w:firstColumn="0" w:lastColumn="0" w:oddVBand="0" w:evenVBand="0" w:oddHBand="0" w:evenHBand="0" w:firstRowFirstColumn="0" w:firstRowLastColumn="0" w:lastRowFirstColumn="0" w:lastRowLastColumn="0"/>
              <w:rPr>
                <w:i/>
                <w:sz w:val="20"/>
                <w:szCs w:val="20"/>
              </w:rPr>
            </w:pPr>
            <w:r w:rsidRPr="00C84375">
              <w:rPr>
                <w:i/>
                <w:sz w:val="20"/>
                <w:szCs w:val="20"/>
              </w:rPr>
              <w:t>720,056</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7F2B7C" w:rsidRPr="00C84375" w:rsidRDefault="007F2B7C" w:rsidP="00166A8E">
            <w:pPr>
              <w:jc w:val="right"/>
              <w:rPr>
                <w:i/>
                <w:sz w:val="20"/>
                <w:szCs w:val="20"/>
              </w:rPr>
            </w:pPr>
            <w:r w:rsidRPr="00C84375">
              <w:rPr>
                <w:i/>
                <w:sz w:val="20"/>
                <w:szCs w:val="20"/>
              </w:rPr>
              <w:t>2,094,45</w:t>
            </w:r>
            <w:r w:rsidR="00166A8E">
              <w:rPr>
                <w:i/>
                <w:sz w:val="20"/>
                <w:szCs w:val="20"/>
              </w:rPr>
              <w:t>7</w:t>
            </w:r>
          </w:p>
        </w:tc>
        <w:tc>
          <w:tcPr>
            <w:tcW w:w="1009"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i/>
                <w:sz w:val="20"/>
                <w:szCs w:val="20"/>
              </w:rPr>
            </w:pPr>
            <w:r w:rsidRPr="00C84375">
              <w:rPr>
                <w:i/>
                <w:sz w:val="20"/>
                <w:szCs w:val="20"/>
              </w:rPr>
              <w:t>673,432</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7F2B7C" w:rsidRPr="00C84375" w:rsidRDefault="007F2B7C" w:rsidP="00A543C6">
            <w:pPr>
              <w:jc w:val="right"/>
              <w:rPr>
                <w:i/>
                <w:sz w:val="20"/>
                <w:szCs w:val="20"/>
              </w:rPr>
            </w:pPr>
          </w:p>
        </w:tc>
        <w:tc>
          <w:tcPr>
            <w:tcW w:w="1066" w:type="dxa"/>
            <w:noWrap/>
            <w:hideMark/>
          </w:tcPr>
          <w:p w:rsidR="007F2B7C" w:rsidRPr="00C84375" w:rsidRDefault="007F2B7C" w:rsidP="00A543C6">
            <w:pPr>
              <w:jc w:val="right"/>
              <w:cnfStyle w:val="000000000000" w:firstRow="0" w:lastRow="0" w:firstColumn="0" w:lastColumn="0" w:oddVBand="0" w:evenVBand="0" w:oddHBand="0" w:evenHBand="0" w:firstRowFirstColumn="0" w:firstRowLastColumn="0" w:lastRowFirstColumn="0" w:lastRowLastColumn="0"/>
              <w:rPr>
                <w:i/>
                <w:sz w:val="20"/>
                <w:szCs w:val="20"/>
              </w:rPr>
            </w:pPr>
            <w:r w:rsidRPr="00C84375">
              <w:rPr>
                <w:i/>
                <w:sz w:val="20"/>
                <w:szCs w:val="20"/>
              </w:rPr>
              <w:t>293,868</w:t>
            </w: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7F2B7C" w:rsidRPr="00C84375" w:rsidRDefault="007F2B7C" w:rsidP="00166A8E">
            <w:pPr>
              <w:jc w:val="right"/>
              <w:rPr>
                <w:i/>
                <w:sz w:val="20"/>
                <w:szCs w:val="20"/>
              </w:rPr>
            </w:pPr>
            <w:r w:rsidRPr="00C84375">
              <w:rPr>
                <w:i/>
                <w:sz w:val="20"/>
                <w:szCs w:val="20"/>
              </w:rPr>
              <w:t>11,44</w:t>
            </w:r>
            <w:r w:rsidR="00166A8E">
              <w:rPr>
                <w:i/>
                <w:sz w:val="20"/>
                <w:szCs w:val="20"/>
              </w:rPr>
              <w:t>3</w:t>
            </w: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Carbon monoxide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12,722,390</w:t>
            </w:r>
          </w:p>
        </w:tc>
        <w:tc>
          <w:tcPr>
            <w:cnfStyle w:val="000010000000" w:firstRow="0" w:lastRow="0" w:firstColumn="0" w:lastColumn="0" w:oddVBand="1" w:evenVBand="0" w:oddHBand="0" w:evenHBand="0" w:firstRowFirstColumn="0" w:firstRowLastColumn="0" w:lastRowFirstColumn="0" w:lastRowLastColumn="0"/>
            <w:tcW w:w="1091" w:type="dxa"/>
            <w:noWrap/>
          </w:tcPr>
          <w:p w:rsidR="00CA5717" w:rsidRPr="00C84375" w:rsidRDefault="00CA5717" w:rsidP="00CA5717">
            <w:pPr>
              <w:jc w:val="right"/>
              <w:rPr>
                <w:rFonts w:ascii="Calibri" w:hAnsi="Calibri"/>
                <w:color w:val="000000"/>
                <w:sz w:val="20"/>
                <w:szCs w:val="20"/>
              </w:rPr>
            </w:pPr>
            <w:r w:rsidRPr="00C84375">
              <w:rPr>
                <w:rFonts w:ascii="Calibri" w:hAnsi="Calibri"/>
                <w:color w:val="000000"/>
                <w:sz w:val="20"/>
                <w:szCs w:val="20"/>
              </w:rPr>
              <w:t>4,781,764</w:t>
            </w:r>
          </w:p>
        </w:tc>
        <w:tc>
          <w:tcPr>
            <w:tcW w:w="1092" w:type="dxa"/>
            <w:noWrap/>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tcPr>
          <w:p w:rsidR="00CA5717" w:rsidRPr="00C84375" w:rsidRDefault="00CA5717" w:rsidP="00CA5717">
            <w:pPr>
              <w:jc w:val="right"/>
              <w:rPr>
                <w:rFonts w:ascii="Calibri" w:hAnsi="Calibri"/>
                <w:color w:val="000000"/>
                <w:sz w:val="20"/>
                <w:szCs w:val="20"/>
              </w:rPr>
            </w:pPr>
            <w:r w:rsidRPr="00C84375">
              <w:rPr>
                <w:rFonts w:ascii="Calibri" w:hAnsi="Calibri"/>
                <w:color w:val="000000"/>
                <w:sz w:val="20"/>
                <w:szCs w:val="20"/>
              </w:rPr>
              <w:t>4,005,740</w:t>
            </w:r>
          </w:p>
        </w:tc>
        <w:tc>
          <w:tcPr>
            <w:tcW w:w="1131" w:type="dxa"/>
            <w:noWrap/>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84375">
              <w:rPr>
                <w:rFonts w:ascii="Calibri" w:hAnsi="Calibri"/>
                <w:color w:val="000000"/>
                <w:sz w:val="20"/>
                <w:szCs w:val="20"/>
              </w:rPr>
              <w:t>1,631,912</w:t>
            </w:r>
          </w:p>
        </w:tc>
        <w:tc>
          <w:tcPr>
            <w:cnfStyle w:val="000010000000" w:firstRow="0" w:lastRow="0" w:firstColumn="0" w:lastColumn="0" w:oddVBand="1" w:evenVBand="0" w:oddHBand="0" w:evenHBand="0" w:firstRowFirstColumn="0" w:firstRowLastColumn="0" w:lastRowFirstColumn="0" w:lastRowLastColumn="0"/>
            <w:tcW w:w="1134" w:type="dxa"/>
            <w:noWrap/>
          </w:tcPr>
          <w:p w:rsidR="00CA5717" w:rsidRPr="00C84375" w:rsidRDefault="00CA5717" w:rsidP="00CA5717">
            <w:pPr>
              <w:jc w:val="right"/>
              <w:rPr>
                <w:rFonts w:ascii="Calibri" w:hAnsi="Calibri"/>
                <w:color w:val="000000"/>
                <w:sz w:val="20"/>
                <w:szCs w:val="20"/>
              </w:rPr>
            </w:pPr>
            <w:r w:rsidRPr="00C84375">
              <w:rPr>
                <w:rFonts w:ascii="Calibri" w:hAnsi="Calibri"/>
                <w:color w:val="000000"/>
                <w:sz w:val="20"/>
                <w:szCs w:val="20"/>
              </w:rPr>
              <w:t>1,388,055</w:t>
            </w:r>
          </w:p>
        </w:tc>
        <w:tc>
          <w:tcPr>
            <w:tcW w:w="1009" w:type="dxa"/>
            <w:noWrap/>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84375">
              <w:rPr>
                <w:rFonts w:ascii="Calibri" w:hAnsi="Calibri"/>
                <w:color w:val="000000"/>
                <w:sz w:val="20"/>
                <w:szCs w:val="20"/>
              </w:rPr>
              <w:t>914,919</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 xml:space="preserve">Chlorine and total inorganic chlorine compounds - as </w:t>
            </w:r>
            <w:proofErr w:type="spellStart"/>
            <w:r w:rsidRPr="00C84375">
              <w:rPr>
                <w:b w:val="0"/>
                <w:sz w:val="20"/>
                <w:szCs w:val="20"/>
              </w:rPr>
              <w:t>HCl</w:t>
            </w:r>
            <w:proofErr w:type="spellEnd"/>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50,152</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15,812</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14,461</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19,879</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Chlorofluorocarbons (CFCs)</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417</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417.25</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Chromium</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166A8E"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369.8</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36.0</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166A8E" w:rsidP="00CA5717">
            <w:pPr>
              <w:jc w:val="right"/>
              <w:rPr>
                <w:sz w:val="20"/>
                <w:szCs w:val="20"/>
              </w:rPr>
            </w:pPr>
            <w:r>
              <w:rPr>
                <w:sz w:val="20"/>
                <w:szCs w:val="20"/>
              </w:rPr>
              <w:t>164.7</w:t>
            </w:r>
          </w:p>
        </w:tc>
        <w:tc>
          <w:tcPr>
            <w:tcW w:w="1009" w:type="dxa"/>
            <w:noWrap/>
            <w:hideMark/>
          </w:tcPr>
          <w:p w:rsidR="00CA5717" w:rsidRPr="00C84375" w:rsidRDefault="00166A8E"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169.1</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Copper</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166A8E"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171.7</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72.45</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166A8E" w:rsidP="00166A8E">
            <w:pPr>
              <w:jc w:val="right"/>
              <w:rPr>
                <w:sz w:val="20"/>
                <w:szCs w:val="20"/>
              </w:rPr>
            </w:pPr>
            <w:r>
              <w:rPr>
                <w:sz w:val="20"/>
                <w:szCs w:val="20"/>
              </w:rPr>
              <w:t>26.04</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73.16</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Dioxins and furans - as ITEQ</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0.00001</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0.000278</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0.000126</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0.000151</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Dioxins and furans - as WHO TEQ</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0.00001</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0.000199</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0.000070</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0.000129</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Ethylbenzene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763</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763</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Fluorine and total inorganic fluorine compounds - as HF</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45,888</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43,879</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2,009</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Formaldehyde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140,847</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410</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38</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140,399</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proofErr w:type="spellStart"/>
            <w:r w:rsidRPr="00C84375">
              <w:rPr>
                <w:b w:val="0"/>
                <w:sz w:val="20"/>
                <w:szCs w:val="20"/>
              </w:rPr>
              <w:t>Hydrochlorofluorocarbons</w:t>
            </w:r>
            <w:proofErr w:type="spellEnd"/>
            <w:r w:rsidRPr="00C84375">
              <w:rPr>
                <w:b w:val="0"/>
                <w:sz w:val="20"/>
                <w:szCs w:val="20"/>
              </w:rPr>
              <w:t xml:space="preserve"> (HCFCs)</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w:t>
            </w:r>
          </w:p>
        </w:tc>
        <w:tc>
          <w:tcPr>
            <w:tcW w:w="1091" w:type="dxa"/>
            <w:noWrap/>
            <w:hideMark/>
          </w:tcPr>
          <w:p w:rsidR="00CA5717" w:rsidRPr="00DC1AC0" w:rsidRDefault="00E9097B"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235.71</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38483F" w:rsidP="00CA5717">
            <w:pPr>
              <w:jc w:val="right"/>
              <w:rPr>
                <w:sz w:val="20"/>
                <w:szCs w:val="20"/>
              </w:rPr>
            </w:pPr>
            <w:r w:rsidRPr="00C84375">
              <w:rPr>
                <w:sz w:val="20"/>
                <w:szCs w:val="20"/>
              </w:rPr>
              <w:t>230.71</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38483F"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5</w:t>
            </w: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Hydrofluorocarbons (HFCs)</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1,263</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38483F"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1,263</w:t>
            </w: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Hydrogen chloride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47,161</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47,161</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Hydrogen cyanide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107</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107</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Lead</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705</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163</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542</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Manganese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171</w:t>
            </w:r>
            <w:r w:rsidR="00E9097B">
              <w:rPr>
                <w:b/>
                <w:sz w:val="20"/>
                <w:szCs w:val="20"/>
              </w:rPr>
              <w:t>.4</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44.4</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99.0</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28.0</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Mercury</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w:t>
            </w:r>
          </w:p>
        </w:tc>
        <w:tc>
          <w:tcPr>
            <w:tcW w:w="1091" w:type="dxa"/>
            <w:noWrap/>
            <w:hideMark/>
          </w:tcPr>
          <w:p w:rsidR="00CA5717" w:rsidRPr="00DC1AC0" w:rsidRDefault="00E9097B"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15.78</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1.39</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8.47</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5.92</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lastRenderedPageBreak/>
              <w:t>Methane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26,777,357</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4,028,678</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109,352</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276,791</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21,766,764</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r w:rsidRPr="00C84375">
              <w:rPr>
                <w:sz w:val="20"/>
                <w:szCs w:val="20"/>
              </w:rPr>
              <w:t>582,686</w:t>
            </w: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13,086</w:t>
            </w: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Methyl chloride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18,994</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18,994</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Methyl chloroform</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76</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6D3B72" w:rsidP="00CA5717">
            <w:pPr>
              <w:jc w:val="right"/>
              <w:rPr>
                <w:sz w:val="20"/>
                <w:szCs w:val="20"/>
              </w:rPr>
            </w:pPr>
            <w:r w:rsidRPr="00C84375">
              <w:rPr>
                <w:sz w:val="20"/>
                <w:szCs w:val="20"/>
              </w:rPr>
              <w:t>76</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Methylene chloride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103,430</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103,430</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Naphthalene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387</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387</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Nickel</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295</w:t>
            </w:r>
            <w:r w:rsidR="00E9097B">
              <w:rPr>
                <w:b/>
                <w:sz w:val="20"/>
                <w:szCs w:val="20"/>
              </w:rPr>
              <w:t>.1</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E9097B">
            <w:pPr>
              <w:jc w:val="right"/>
              <w:rPr>
                <w:sz w:val="20"/>
                <w:szCs w:val="20"/>
              </w:rPr>
            </w:pPr>
            <w:r w:rsidRPr="00C84375">
              <w:rPr>
                <w:sz w:val="20"/>
                <w:szCs w:val="20"/>
              </w:rPr>
              <w:t>15</w:t>
            </w:r>
            <w:r w:rsidR="00E9097B">
              <w:rPr>
                <w:sz w:val="20"/>
                <w:szCs w:val="20"/>
              </w:rPr>
              <w:t>8.5</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80.7</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26.1</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29.8</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15194C">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Nitrogen oxides, NO and NO2 as NO2</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12,271,194</w:t>
            </w:r>
          </w:p>
        </w:tc>
        <w:tc>
          <w:tcPr>
            <w:cnfStyle w:val="000010000000" w:firstRow="0" w:lastRow="0" w:firstColumn="0" w:lastColumn="0" w:oddVBand="1" w:evenVBand="0" w:oddHBand="0" w:evenHBand="0" w:firstRowFirstColumn="0" w:firstRowLastColumn="0" w:lastRowFirstColumn="0" w:lastRowLastColumn="0"/>
            <w:tcW w:w="1091" w:type="dxa"/>
            <w:noWrap/>
          </w:tcPr>
          <w:p w:rsidR="00CA5717" w:rsidRPr="00C84375" w:rsidRDefault="0015194C" w:rsidP="00CA5717">
            <w:pPr>
              <w:jc w:val="right"/>
              <w:rPr>
                <w:sz w:val="20"/>
                <w:szCs w:val="20"/>
              </w:rPr>
            </w:pPr>
            <w:r w:rsidRPr="00C84375">
              <w:rPr>
                <w:sz w:val="20"/>
                <w:szCs w:val="20"/>
              </w:rPr>
              <w:t>7,315,591</w:t>
            </w:r>
          </w:p>
        </w:tc>
        <w:tc>
          <w:tcPr>
            <w:tcW w:w="1092" w:type="dxa"/>
            <w:noWrap/>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tcPr>
          <w:p w:rsidR="00CA5717" w:rsidRPr="00C84375" w:rsidRDefault="0015194C" w:rsidP="00CA5717">
            <w:pPr>
              <w:jc w:val="right"/>
              <w:rPr>
                <w:sz w:val="20"/>
                <w:szCs w:val="20"/>
              </w:rPr>
            </w:pPr>
            <w:r w:rsidRPr="00C84375">
              <w:rPr>
                <w:sz w:val="20"/>
                <w:szCs w:val="20"/>
              </w:rPr>
              <w:t>1,935,750</w:t>
            </w:r>
          </w:p>
        </w:tc>
        <w:tc>
          <w:tcPr>
            <w:tcW w:w="1131" w:type="dxa"/>
            <w:noWrap/>
          </w:tcPr>
          <w:p w:rsidR="00CA5717" w:rsidRPr="00C84375" w:rsidRDefault="0015194C"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865,788</w:t>
            </w:r>
          </w:p>
        </w:tc>
        <w:tc>
          <w:tcPr>
            <w:cnfStyle w:val="000010000000" w:firstRow="0" w:lastRow="0" w:firstColumn="0" w:lastColumn="0" w:oddVBand="1" w:evenVBand="0" w:oddHBand="0" w:evenHBand="0" w:firstRowFirstColumn="0" w:firstRowLastColumn="0" w:lastRowFirstColumn="0" w:lastRowLastColumn="0"/>
            <w:tcW w:w="1134" w:type="dxa"/>
            <w:noWrap/>
          </w:tcPr>
          <w:p w:rsidR="00CA5717" w:rsidRPr="00C84375" w:rsidRDefault="0015194C" w:rsidP="00CA5717">
            <w:pPr>
              <w:jc w:val="right"/>
              <w:rPr>
                <w:sz w:val="20"/>
                <w:szCs w:val="20"/>
              </w:rPr>
            </w:pPr>
            <w:r w:rsidRPr="00C84375">
              <w:rPr>
                <w:sz w:val="20"/>
                <w:szCs w:val="20"/>
              </w:rPr>
              <w:t>1,200,092</w:t>
            </w:r>
          </w:p>
        </w:tc>
        <w:tc>
          <w:tcPr>
            <w:tcW w:w="1009" w:type="dxa"/>
            <w:noWrap/>
          </w:tcPr>
          <w:p w:rsidR="00CA5717" w:rsidRPr="00C84375" w:rsidRDefault="0015194C"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953,973</w:t>
            </w:r>
          </w:p>
        </w:tc>
        <w:tc>
          <w:tcPr>
            <w:cnfStyle w:val="000010000000" w:firstRow="0" w:lastRow="0" w:firstColumn="0" w:lastColumn="0" w:oddVBand="1" w:evenVBand="0" w:oddHBand="0" w:evenHBand="0" w:firstRowFirstColumn="0" w:firstRowLastColumn="0" w:lastRowFirstColumn="0" w:lastRowLastColumn="0"/>
            <w:tcW w:w="1117" w:type="dxa"/>
            <w:noWrap/>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Nitrous oxide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96,543</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84,743</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11,800</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Non-methane volatile organic compounds (NMVOCs)</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26,127,958</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14,241,445</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106,909</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2,727,479</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609,362</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8,145,114</w:t>
            </w: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00046" w:rsidP="00CA5717">
            <w:pPr>
              <w:jc w:val="right"/>
              <w:rPr>
                <w:sz w:val="20"/>
                <w:szCs w:val="20"/>
              </w:rPr>
            </w:pPr>
            <w:r w:rsidRPr="00C84375">
              <w:rPr>
                <w:sz w:val="20"/>
                <w:szCs w:val="20"/>
              </w:rPr>
              <w:t>297,649</w:t>
            </w: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Particulate matter - PM10 and smaller</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762,132</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103,256</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120,254</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339,145</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55,382</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r w:rsidRPr="00C84375">
              <w:rPr>
                <w:sz w:val="20"/>
                <w:szCs w:val="20"/>
              </w:rPr>
              <w:t>144,095</w:t>
            </w: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Particulate matter - total</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50,000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785,006</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5C5A74" w:rsidP="00CA5717">
            <w:pPr>
              <w:jc w:val="right"/>
              <w:rPr>
                <w:sz w:val="20"/>
                <w:szCs w:val="20"/>
              </w:rPr>
            </w:pPr>
            <w:r w:rsidRPr="00C84375">
              <w:rPr>
                <w:sz w:val="20"/>
                <w:szCs w:val="20"/>
              </w:rPr>
              <w:t>221,432</w:t>
            </w:r>
          </w:p>
        </w:tc>
        <w:tc>
          <w:tcPr>
            <w:tcW w:w="1092" w:type="dxa"/>
            <w:noWrap/>
            <w:hideMark/>
          </w:tcPr>
          <w:p w:rsidR="00CA5717" w:rsidRPr="00C84375" w:rsidRDefault="005C5A74"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172,608</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5C5A74" w:rsidP="00CA5717">
            <w:pPr>
              <w:jc w:val="right"/>
              <w:rPr>
                <w:sz w:val="20"/>
                <w:szCs w:val="20"/>
              </w:rPr>
            </w:pPr>
            <w:r w:rsidRPr="00C84375">
              <w:rPr>
                <w:sz w:val="20"/>
                <w:szCs w:val="20"/>
              </w:rPr>
              <w:t>51,946</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5C5A74"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56,204</w:t>
            </w: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5C5A74" w:rsidP="00CA5717">
            <w:pPr>
              <w:jc w:val="right"/>
              <w:rPr>
                <w:sz w:val="20"/>
                <w:szCs w:val="20"/>
              </w:rPr>
            </w:pPr>
            <w:r w:rsidRPr="00C84375">
              <w:rPr>
                <w:sz w:val="20"/>
                <w:szCs w:val="20"/>
              </w:rPr>
              <w:t>282,816</w:t>
            </w: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Particulates - PM2.5 and smaller only</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12,116</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2,113</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3,645</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6,358</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Perfluorocarbons (PFCs)</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3,945</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5C5A74"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790</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5C5A74"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3,155</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Phenols - total as C</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429</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429</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Polycyclic aromatic hydrocarbons (PAHs)</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8.0</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5C5A74" w:rsidP="005C5A74">
            <w:pPr>
              <w:jc w:val="right"/>
              <w:rPr>
                <w:sz w:val="20"/>
                <w:szCs w:val="20"/>
              </w:rPr>
            </w:pPr>
            <w:r w:rsidRPr="00C84375">
              <w:rPr>
                <w:sz w:val="20"/>
                <w:szCs w:val="20"/>
              </w:rPr>
              <w:t>7.998</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Selenium</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519</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519</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Styrene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629</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629</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Sulphur hexafluoride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E9097B">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22</w:t>
            </w:r>
            <w:r w:rsidR="00E9097B">
              <w:rPr>
                <w:b/>
                <w:sz w:val="20"/>
                <w:szCs w:val="20"/>
              </w:rPr>
              <w:t>0.5</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5C5A74"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220.5</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5C5A74">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Sulphur oxides, SO2 and SO3 as SO2</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5,679,072</w:t>
            </w:r>
          </w:p>
        </w:tc>
        <w:tc>
          <w:tcPr>
            <w:cnfStyle w:val="000010000000" w:firstRow="0" w:lastRow="0" w:firstColumn="0" w:lastColumn="0" w:oddVBand="1" w:evenVBand="0" w:oddHBand="0" w:evenHBand="0" w:firstRowFirstColumn="0" w:firstRowLastColumn="0" w:lastRowFirstColumn="0" w:lastRowLastColumn="0"/>
            <w:tcW w:w="1091" w:type="dxa"/>
            <w:noWrap/>
          </w:tcPr>
          <w:p w:rsidR="00CA5717" w:rsidRPr="00C84375" w:rsidRDefault="005C5A74" w:rsidP="00CA5717">
            <w:pPr>
              <w:jc w:val="right"/>
              <w:rPr>
                <w:sz w:val="20"/>
                <w:szCs w:val="20"/>
              </w:rPr>
            </w:pPr>
            <w:r w:rsidRPr="00C84375">
              <w:rPr>
                <w:sz w:val="20"/>
                <w:szCs w:val="20"/>
              </w:rPr>
              <w:t>3,772,732</w:t>
            </w:r>
          </w:p>
        </w:tc>
        <w:tc>
          <w:tcPr>
            <w:tcW w:w="1092" w:type="dxa"/>
            <w:noWrap/>
          </w:tcPr>
          <w:p w:rsidR="00CA5717" w:rsidRPr="00C84375" w:rsidRDefault="005C5A74"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626,855</w:t>
            </w:r>
          </w:p>
        </w:tc>
        <w:tc>
          <w:tcPr>
            <w:cnfStyle w:val="000010000000" w:firstRow="0" w:lastRow="0" w:firstColumn="0" w:lastColumn="0" w:oddVBand="1" w:evenVBand="0" w:oddHBand="0" w:evenHBand="0" w:firstRowFirstColumn="0" w:firstRowLastColumn="0" w:lastRowFirstColumn="0" w:lastRowLastColumn="0"/>
            <w:tcW w:w="1091" w:type="dxa"/>
            <w:noWrap/>
          </w:tcPr>
          <w:p w:rsidR="00CA5717" w:rsidRPr="00C84375" w:rsidRDefault="005C5A74" w:rsidP="00CA5717">
            <w:pPr>
              <w:jc w:val="right"/>
              <w:rPr>
                <w:sz w:val="20"/>
                <w:szCs w:val="20"/>
              </w:rPr>
            </w:pPr>
            <w:r w:rsidRPr="00C84375">
              <w:rPr>
                <w:sz w:val="20"/>
                <w:szCs w:val="20"/>
              </w:rPr>
              <w:t>1,279,485</w:t>
            </w: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proofErr w:type="spellStart"/>
            <w:r w:rsidRPr="00C84375">
              <w:rPr>
                <w:b w:val="0"/>
                <w:sz w:val="20"/>
                <w:szCs w:val="20"/>
              </w:rPr>
              <w:t>Tetrachloroethane</w:t>
            </w:r>
            <w:proofErr w:type="spellEnd"/>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11.1</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11.1</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Toluene</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183,133</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156,607</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23,365</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r w:rsidRPr="00C84375">
              <w:rPr>
                <w:sz w:val="20"/>
                <w:szCs w:val="20"/>
              </w:rPr>
              <w:t>109</w:t>
            </w: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r w:rsidRPr="00C84375">
              <w:rPr>
                <w:sz w:val="20"/>
                <w:szCs w:val="20"/>
              </w:rPr>
              <w:t>3,052</w:t>
            </w: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Vanadium</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88.5</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88.5</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r w:rsidR="00CA5717" w:rsidRPr="00C84375" w:rsidTr="00CA5717">
        <w:trPr>
          <w:trHeight w:val="300"/>
        </w:trPr>
        <w:tc>
          <w:tcPr>
            <w:cnfStyle w:val="001000000000" w:firstRow="0" w:lastRow="0" w:firstColumn="1" w:lastColumn="0" w:oddVBand="0" w:evenVBand="0" w:oddHBand="0" w:evenHBand="0" w:firstRowFirstColumn="0" w:firstRowLastColumn="0" w:lastRowFirstColumn="0" w:lastRowLastColumn="0"/>
            <w:tcW w:w="3345" w:type="dxa"/>
            <w:noWrap/>
            <w:hideMark/>
          </w:tcPr>
          <w:p w:rsidR="00CA5717" w:rsidRPr="00C84375" w:rsidRDefault="00CA5717" w:rsidP="00CA5717">
            <w:pPr>
              <w:rPr>
                <w:b w:val="0"/>
                <w:sz w:val="20"/>
                <w:szCs w:val="20"/>
              </w:rPr>
            </w:pPr>
            <w:r w:rsidRPr="00C84375">
              <w:rPr>
                <w:b w:val="0"/>
                <w:sz w:val="20"/>
                <w:szCs w:val="20"/>
              </w:rPr>
              <w:t>Xylene - all isomers</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CA5717" w:rsidRPr="00C84375" w:rsidRDefault="00CA5717" w:rsidP="00CA5717">
            <w:pPr>
              <w:jc w:val="right"/>
              <w:rPr>
                <w:i/>
                <w:sz w:val="20"/>
                <w:szCs w:val="20"/>
              </w:rPr>
            </w:pPr>
            <w:r w:rsidRPr="00C84375">
              <w:rPr>
                <w:i/>
                <w:sz w:val="20"/>
                <w:szCs w:val="20"/>
              </w:rPr>
              <w:t>1,000</w:t>
            </w:r>
          </w:p>
        </w:tc>
        <w:tc>
          <w:tcPr>
            <w:tcW w:w="1091" w:type="dxa"/>
            <w:noWrap/>
            <w:hideMark/>
          </w:tcPr>
          <w:p w:rsidR="00CA5717" w:rsidRPr="00DC1AC0" w:rsidRDefault="00CA5717" w:rsidP="00CA5717">
            <w:pPr>
              <w:jc w:val="right"/>
              <w:cnfStyle w:val="000000000000" w:firstRow="0" w:lastRow="0" w:firstColumn="0" w:lastColumn="0" w:oddVBand="0" w:evenVBand="0" w:oddHBand="0" w:evenHBand="0" w:firstRowFirstColumn="0" w:firstRowLastColumn="0" w:lastRowFirstColumn="0" w:lastRowLastColumn="0"/>
              <w:rPr>
                <w:b/>
                <w:sz w:val="20"/>
                <w:szCs w:val="20"/>
              </w:rPr>
            </w:pPr>
            <w:r w:rsidRPr="00DC1AC0">
              <w:rPr>
                <w:b/>
                <w:sz w:val="20"/>
                <w:szCs w:val="20"/>
              </w:rPr>
              <w:t>130,062</w:t>
            </w: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r w:rsidRPr="00C84375">
              <w:rPr>
                <w:sz w:val="20"/>
                <w:szCs w:val="20"/>
              </w:rPr>
              <w:t>124,862</w:t>
            </w:r>
          </w:p>
        </w:tc>
        <w:tc>
          <w:tcPr>
            <w:tcW w:w="1092"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1" w:type="dxa"/>
            <w:noWrap/>
            <w:hideMark/>
          </w:tcPr>
          <w:p w:rsidR="00CA5717" w:rsidRPr="00C84375" w:rsidRDefault="00CA5717" w:rsidP="00CA5717">
            <w:pPr>
              <w:jc w:val="right"/>
              <w:rPr>
                <w:sz w:val="20"/>
                <w:szCs w:val="20"/>
              </w:rPr>
            </w:pPr>
          </w:p>
        </w:tc>
        <w:tc>
          <w:tcPr>
            <w:tcW w:w="1131"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r w:rsidRPr="00C84375">
              <w:rPr>
                <w:sz w:val="20"/>
                <w:szCs w:val="20"/>
              </w:rPr>
              <w:t>5,200</w:t>
            </w: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CA5717" w:rsidRPr="00C84375" w:rsidRDefault="00CA5717" w:rsidP="00CA5717">
            <w:pPr>
              <w:jc w:val="right"/>
              <w:rPr>
                <w:sz w:val="20"/>
                <w:szCs w:val="20"/>
              </w:rPr>
            </w:pPr>
          </w:p>
        </w:tc>
        <w:tc>
          <w:tcPr>
            <w:tcW w:w="1009"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17" w:type="dxa"/>
            <w:noWrap/>
            <w:hideMark/>
          </w:tcPr>
          <w:p w:rsidR="00CA5717" w:rsidRPr="00C84375" w:rsidRDefault="00CA5717" w:rsidP="00CA5717">
            <w:pPr>
              <w:jc w:val="right"/>
              <w:rPr>
                <w:sz w:val="20"/>
                <w:szCs w:val="20"/>
              </w:rPr>
            </w:pPr>
          </w:p>
        </w:tc>
        <w:tc>
          <w:tcPr>
            <w:tcW w:w="1066" w:type="dxa"/>
            <w:noWrap/>
            <w:hideMark/>
          </w:tcPr>
          <w:p w:rsidR="00CA5717" w:rsidRPr="00C84375" w:rsidRDefault="00CA5717" w:rsidP="00CA571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92" w:type="dxa"/>
            <w:noWrap/>
            <w:hideMark/>
          </w:tcPr>
          <w:p w:rsidR="00CA5717" w:rsidRPr="00C84375" w:rsidRDefault="00CA5717" w:rsidP="00CA5717">
            <w:pPr>
              <w:jc w:val="right"/>
              <w:rPr>
                <w:sz w:val="20"/>
                <w:szCs w:val="20"/>
              </w:rPr>
            </w:pPr>
          </w:p>
        </w:tc>
      </w:tr>
    </w:tbl>
    <w:p w:rsidR="00C877B6" w:rsidRDefault="00C877B6" w:rsidP="00A543C6"/>
    <w:p w:rsidR="00C877B6" w:rsidRDefault="00C877B6" w:rsidP="00A543C6"/>
    <w:p w:rsidR="00A543C6" w:rsidRPr="00682428" w:rsidRDefault="004C66F0" w:rsidP="00A543C6">
      <w:pPr>
        <w:rPr>
          <w:i/>
        </w:rPr>
      </w:pPr>
      <w:bookmarkStart w:id="5" w:name="Table2"/>
      <w:r>
        <w:rPr>
          <w:i/>
        </w:rPr>
        <w:lastRenderedPageBreak/>
        <w:t>Table 2</w:t>
      </w:r>
      <w:r w:rsidR="00A543C6" w:rsidRPr="00682428">
        <w:rPr>
          <w:i/>
        </w:rPr>
        <w:t xml:space="preserve">: Number of sites reporting ART emissions to air, and percentage of total </w:t>
      </w:r>
      <w:r w:rsidR="00DC1AC0">
        <w:rPr>
          <w:i/>
        </w:rPr>
        <w:t xml:space="preserve">ART </w:t>
      </w:r>
      <w:r w:rsidR="00A543C6" w:rsidRPr="00682428">
        <w:rPr>
          <w:i/>
        </w:rPr>
        <w:t>emission</w:t>
      </w:r>
      <w:r w:rsidR="00DC1AC0">
        <w:rPr>
          <w:i/>
        </w:rPr>
        <w:t>s</w:t>
      </w:r>
      <w:r w:rsidR="00A543C6" w:rsidRPr="00682428">
        <w:rPr>
          <w:i/>
        </w:rPr>
        <w:t xml:space="preserve"> released, by </w:t>
      </w:r>
      <w:r w:rsidR="00682428" w:rsidRPr="00682428">
        <w:rPr>
          <w:i/>
        </w:rPr>
        <w:t xml:space="preserve">industry </w:t>
      </w:r>
      <w:r w:rsidR="00A543C6" w:rsidRPr="00682428">
        <w:rPr>
          <w:i/>
        </w:rPr>
        <w:t>sector and pollutant</w:t>
      </w:r>
      <w:r w:rsidR="00E1501B">
        <w:rPr>
          <w:i/>
        </w:rPr>
        <w:t xml:space="preserve"> for 2019</w:t>
      </w:r>
    </w:p>
    <w:tbl>
      <w:tblPr>
        <w:tblStyle w:val="PlainTable1"/>
        <w:tblW w:w="15399" w:type="dxa"/>
        <w:tblLayout w:type="fixed"/>
        <w:tblCellMar>
          <w:left w:w="57" w:type="dxa"/>
          <w:right w:w="57" w:type="dxa"/>
        </w:tblCellMar>
        <w:tblLook w:val="02A0" w:firstRow="1" w:lastRow="0" w:firstColumn="1" w:lastColumn="0" w:noHBand="1" w:noVBand="0"/>
      </w:tblPr>
      <w:tblGrid>
        <w:gridCol w:w="3397"/>
        <w:gridCol w:w="723"/>
        <w:gridCol w:w="626"/>
        <w:gridCol w:w="627"/>
        <w:gridCol w:w="626"/>
        <w:gridCol w:w="627"/>
        <w:gridCol w:w="627"/>
        <w:gridCol w:w="626"/>
        <w:gridCol w:w="627"/>
        <w:gridCol w:w="626"/>
        <w:gridCol w:w="627"/>
        <w:gridCol w:w="627"/>
        <w:gridCol w:w="626"/>
        <w:gridCol w:w="627"/>
        <w:gridCol w:w="626"/>
        <w:gridCol w:w="627"/>
        <w:gridCol w:w="627"/>
        <w:gridCol w:w="626"/>
        <w:gridCol w:w="627"/>
        <w:gridCol w:w="627"/>
      </w:tblGrid>
      <w:tr w:rsidR="00A543C6" w:rsidRPr="00B974BA" w:rsidTr="003C6D07">
        <w:trPr>
          <w:cnfStyle w:val="100000000000" w:firstRow="1" w:lastRow="0" w:firstColumn="0" w:lastColumn="0" w:oddVBand="0" w:evenVBand="0" w:oddHBand="0" w:evenHBand="0" w:firstRowFirstColumn="0" w:firstRowLastColumn="0" w:lastRowFirstColumn="0" w:lastRowLastColumn="0"/>
          <w:trHeight w:val="1805"/>
          <w:tblHeader/>
        </w:trPr>
        <w:tc>
          <w:tcPr>
            <w:cnfStyle w:val="001000000000" w:firstRow="0" w:lastRow="0" w:firstColumn="1" w:lastColumn="0" w:oddVBand="0" w:evenVBand="0" w:oddHBand="0" w:evenHBand="0" w:firstRowFirstColumn="0" w:firstRowLastColumn="0" w:lastRowFirstColumn="0" w:lastRowLastColumn="0"/>
            <w:tcW w:w="3397" w:type="dxa"/>
            <w:vMerge w:val="restart"/>
            <w:tcBorders>
              <w:bottom w:val="single" w:sz="4" w:space="0" w:color="auto"/>
            </w:tcBorders>
            <w:noWrap/>
            <w:hideMark/>
          </w:tcPr>
          <w:bookmarkEnd w:id="5"/>
          <w:p w:rsidR="00A543C6" w:rsidRPr="00B974BA" w:rsidRDefault="00A543C6" w:rsidP="00A543C6">
            <w:pPr>
              <w:rPr>
                <w:b w:val="0"/>
                <w:sz w:val="20"/>
                <w:szCs w:val="20"/>
              </w:rPr>
            </w:pPr>
            <w:r w:rsidRPr="00B974BA">
              <w:rPr>
                <w:b w:val="0"/>
                <w:sz w:val="20"/>
                <w:szCs w:val="20"/>
              </w:rPr>
              <w:t xml:space="preserve">Pollutant </w:t>
            </w:r>
          </w:p>
        </w:tc>
        <w:tc>
          <w:tcPr>
            <w:cnfStyle w:val="000010000000" w:firstRow="0" w:lastRow="0" w:firstColumn="0" w:lastColumn="0" w:oddVBand="1" w:evenVBand="0" w:oddHBand="0" w:evenHBand="0" w:firstRowFirstColumn="0" w:firstRowLastColumn="0" w:lastRowFirstColumn="0" w:lastRowLastColumn="0"/>
            <w:tcW w:w="723" w:type="dxa"/>
            <w:vMerge w:val="restart"/>
            <w:tcBorders>
              <w:bottom w:val="single" w:sz="4" w:space="0" w:color="auto"/>
            </w:tcBorders>
            <w:shd w:val="clear" w:color="auto" w:fill="auto"/>
            <w:noWrap/>
            <w:hideMark/>
          </w:tcPr>
          <w:p w:rsidR="00A543C6" w:rsidRPr="003C6D07" w:rsidRDefault="00A543C6" w:rsidP="00D603DD">
            <w:pPr>
              <w:rPr>
                <w:sz w:val="20"/>
                <w:szCs w:val="20"/>
              </w:rPr>
            </w:pPr>
            <w:r w:rsidRPr="003C6D07">
              <w:rPr>
                <w:sz w:val="20"/>
                <w:szCs w:val="20"/>
              </w:rPr>
              <w:t>Total no of ART sites</w:t>
            </w:r>
          </w:p>
        </w:tc>
        <w:tc>
          <w:tcPr>
            <w:tcW w:w="1253" w:type="dxa"/>
            <w:gridSpan w:val="2"/>
            <w:tcBorders>
              <w:bottom w:val="single" w:sz="4" w:space="0" w:color="BFBFBF" w:themeColor="background1" w:themeShade="BF"/>
            </w:tcBorders>
            <w:shd w:val="clear" w:color="auto" w:fill="F2F2F2" w:themeFill="background1" w:themeFillShade="F2"/>
            <w:hideMark/>
          </w:tcPr>
          <w:p w:rsidR="00A543C6" w:rsidRPr="00B974BA" w:rsidRDefault="00A543C6" w:rsidP="00D603DD">
            <w:pPr>
              <w:cnfStyle w:val="100000000000" w:firstRow="1" w:lastRow="0" w:firstColumn="0" w:lastColumn="0" w:oddVBand="0" w:evenVBand="0" w:oddHBand="0" w:evenHBand="0" w:firstRowFirstColumn="0" w:firstRowLastColumn="0" w:lastRowFirstColumn="0" w:lastRowLastColumn="0"/>
              <w:rPr>
                <w:b w:val="0"/>
                <w:sz w:val="20"/>
                <w:szCs w:val="20"/>
              </w:rPr>
            </w:pPr>
            <w:r w:rsidRPr="00B974BA">
              <w:rPr>
                <w:b w:val="0"/>
                <w:sz w:val="20"/>
                <w:szCs w:val="20"/>
              </w:rPr>
              <w:t>1 - Energy sector</w:t>
            </w:r>
          </w:p>
        </w:tc>
        <w:tc>
          <w:tcPr>
            <w:cnfStyle w:val="000010000000" w:firstRow="0" w:lastRow="0" w:firstColumn="0" w:lastColumn="0" w:oddVBand="1" w:evenVBand="0" w:oddHBand="0" w:evenHBand="0" w:firstRowFirstColumn="0" w:firstRowLastColumn="0" w:lastRowFirstColumn="0" w:lastRowLastColumn="0"/>
            <w:tcW w:w="1253" w:type="dxa"/>
            <w:gridSpan w:val="2"/>
            <w:tcBorders>
              <w:bottom w:val="single" w:sz="4" w:space="0" w:color="BFBFBF" w:themeColor="background1" w:themeShade="BF"/>
            </w:tcBorders>
            <w:shd w:val="clear" w:color="auto" w:fill="auto"/>
            <w:hideMark/>
          </w:tcPr>
          <w:p w:rsidR="00A543C6" w:rsidRPr="00B974BA" w:rsidRDefault="00A543C6" w:rsidP="00D603DD">
            <w:pPr>
              <w:rPr>
                <w:b w:val="0"/>
                <w:sz w:val="20"/>
                <w:szCs w:val="20"/>
              </w:rPr>
            </w:pPr>
            <w:r w:rsidRPr="00B974BA">
              <w:rPr>
                <w:b w:val="0"/>
                <w:sz w:val="20"/>
                <w:szCs w:val="20"/>
              </w:rPr>
              <w:t>2 - Production and processing of metals</w:t>
            </w:r>
          </w:p>
        </w:tc>
        <w:tc>
          <w:tcPr>
            <w:tcW w:w="1253" w:type="dxa"/>
            <w:gridSpan w:val="2"/>
            <w:tcBorders>
              <w:bottom w:val="single" w:sz="4" w:space="0" w:color="BFBFBF" w:themeColor="background1" w:themeShade="BF"/>
            </w:tcBorders>
            <w:shd w:val="clear" w:color="auto" w:fill="F2F2F2" w:themeFill="background1" w:themeFillShade="F2"/>
            <w:hideMark/>
          </w:tcPr>
          <w:p w:rsidR="00A543C6" w:rsidRPr="00B974BA" w:rsidRDefault="00A543C6" w:rsidP="00D603DD">
            <w:pPr>
              <w:cnfStyle w:val="100000000000" w:firstRow="1" w:lastRow="0" w:firstColumn="0" w:lastColumn="0" w:oddVBand="0" w:evenVBand="0" w:oddHBand="0" w:evenHBand="0" w:firstRowFirstColumn="0" w:firstRowLastColumn="0" w:lastRowFirstColumn="0" w:lastRowLastColumn="0"/>
              <w:rPr>
                <w:b w:val="0"/>
                <w:sz w:val="20"/>
                <w:szCs w:val="20"/>
              </w:rPr>
            </w:pPr>
            <w:r w:rsidRPr="00B974BA">
              <w:rPr>
                <w:b w:val="0"/>
                <w:sz w:val="20"/>
                <w:szCs w:val="20"/>
              </w:rPr>
              <w:t>3 - Mineral industry</w:t>
            </w:r>
          </w:p>
          <w:p w:rsidR="00A543C6" w:rsidRPr="00B974BA" w:rsidRDefault="00A543C6" w:rsidP="00D603DD">
            <w:pPr>
              <w:cnfStyle w:val="100000000000" w:firstRow="1" w:lastRow="0" w:firstColumn="0" w:lastColumn="0" w:oddVBand="0" w:evenVBand="0" w:oddHBand="0" w:evenHBand="0" w:firstRowFirstColumn="0" w:firstRowLastColumn="0" w:lastRowFirstColumn="0" w:lastRowLastColumn="0"/>
              <w:rPr>
                <w:b w:val="0"/>
                <w:sz w:val="20"/>
                <w:szCs w:val="20"/>
              </w:rPr>
            </w:pPr>
          </w:p>
        </w:tc>
        <w:tc>
          <w:tcPr>
            <w:cnfStyle w:val="000010000000" w:firstRow="0" w:lastRow="0" w:firstColumn="0" w:lastColumn="0" w:oddVBand="1" w:evenVBand="0" w:oddHBand="0" w:evenHBand="0" w:firstRowFirstColumn="0" w:firstRowLastColumn="0" w:lastRowFirstColumn="0" w:lastRowLastColumn="0"/>
            <w:tcW w:w="1253" w:type="dxa"/>
            <w:gridSpan w:val="2"/>
            <w:tcBorders>
              <w:bottom w:val="single" w:sz="4" w:space="0" w:color="BFBFBF" w:themeColor="background1" w:themeShade="BF"/>
            </w:tcBorders>
            <w:shd w:val="clear" w:color="auto" w:fill="auto"/>
            <w:hideMark/>
          </w:tcPr>
          <w:p w:rsidR="00A543C6" w:rsidRPr="00B974BA" w:rsidRDefault="00A543C6" w:rsidP="00D603DD">
            <w:pPr>
              <w:rPr>
                <w:b w:val="0"/>
                <w:sz w:val="20"/>
                <w:szCs w:val="20"/>
              </w:rPr>
            </w:pPr>
            <w:r w:rsidRPr="00B974BA">
              <w:rPr>
                <w:b w:val="0"/>
                <w:sz w:val="20"/>
                <w:szCs w:val="20"/>
              </w:rPr>
              <w:t>4 - Chemical industry</w:t>
            </w:r>
          </w:p>
        </w:tc>
        <w:tc>
          <w:tcPr>
            <w:tcW w:w="1254" w:type="dxa"/>
            <w:gridSpan w:val="2"/>
            <w:tcBorders>
              <w:bottom w:val="single" w:sz="4" w:space="0" w:color="BFBFBF" w:themeColor="background1" w:themeShade="BF"/>
            </w:tcBorders>
            <w:shd w:val="clear" w:color="auto" w:fill="F2F2F2" w:themeFill="background1" w:themeFillShade="F2"/>
            <w:hideMark/>
          </w:tcPr>
          <w:p w:rsidR="00A543C6" w:rsidRPr="00B974BA" w:rsidRDefault="00A543C6" w:rsidP="00D603DD">
            <w:pPr>
              <w:cnfStyle w:val="100000000000" w:firstRow="1" w:lastRow="0" w:firstColumn="0" w:lastColumn="0" w:oddVBand="0" w:evenVBand="0" w:oddHBand="0" w:evenHBand="0" w:firstRowFirstColumn="0" w:firstRowLastColumn="0" w:lastRowFirstColumn="0" w:lastRowLastColumn="0"/>
              <w:rPr>
                <w:b w:val="0"/>
                <w:sz w:val="20"/>
                <w:szCs w:val="20"/>
              </w:rPr>
            </w:pPr>
            <w:r w:rsidRPr="00B974BA">
              <w:rPr>
                <w:b w:val="0"/>
                <w:sz w:val="20"/>
                <w:szCs w:val="20"/>
              </w:rPr>
              <w:t>5 - Waste and waste-water m/</w:t>
            </w:r>
            <w:proofErr w:type="spellStart"/>
            <w:r w:rsidRPr="00B974BA">
              <w:rPr>
                <w:b w:val="0"/>
                <w:sz w:val="20"/>
                <w:szCs w:val="20"/>
              </w:rPr>
              <w:t>ment</w:t>
            </w:r>
            <w:proofErr w:type="spellEnd"/>
          </w:p>
        </w:tc>
        <w:tc>
          <w:tcPr>
            <w:cnfStyle w:val="000010000000" w:firstRow="0" w:lastRow="0" w:firstColumn="0" w:lastColumn="0" w:oddVBand="1" w:evenVBand="0" w:oddHBand="0" w:evenHBand="0" w:firstRowFirstColumn="0" w:firstRowLastColumn="0" w:lastRowFirstColumn="0" w:lastRowLastColumn="0"/>
            <w:tcW w:w="1253" w:type="dxa"/>
            <w:gridSpan w:val="2"/>
            <w:tcBorders>
              <w:bottom w:val="single" w:sz="4" w:space="0" w:color="BFBFBF" w:themeColor="background1" w:themeShade="BF"/>
            </w:tcBorders>
            <w:shd w:val="clear" w:color="auto" w:fill="auto"/>
            <w:hideMark/>
          </w:tcPr>
          <w:p w:rsidR="00A543C6" w:rsidRPr="00B974BA" w:rsidRDefault="00A543C6" w:rsidP="00D603DD">
            <w:pPr>
              <w:rPr>
                <w:b w:val="0"/>
                <w:sz w:val="20"/>
                <w:szCs w:val="20"/>
              </w:rPr>
            </w:pPr>
            <w:r w:rsidRPr="00B974BA">
              <w:rPr>
                <w:b w:val="0"/>
                <w:sz w:val="20"/>
                <w:szCs w:val="20"/>
              </w:rPr>
              <w:t>6 - Paper and wood production and processing</w:t>
            </w:r>
          </w:p>
        </w:tc>
        <w:tc>
          <w:tcPr>
            <w:tcW w:w="1253" w:type="dxa"/>
            <w:gridSpan w:val="2"/>
            <w:tcBorders>
              <w:bottom w:val="single" w:sz="4" w:space="0" w:color="BFBFBF" w:themeColor="background1" w:themeShade="BF"/>
            </w:tcBorders>
            <w:shd w:val="clear" w:color="auto" w:fill="F2F2F2" w:themeFill="background1" w:themeFillShade="F2"/>
            <w:hideMark/>
          </w:tcPr>
          <w:p w:rsidR="00A543C6" w:rsidRPr="00B974BA" w:rsidRDefault="00A543C6" w:rsidP="00D603DD">
            <w:pPr>
              <w:cnfStyle w:val="100000000000" w:firstRow="1" w:lastRow="0" w:firstColumn="0" w:lastColumn="0" w:oddVBand="0" w:evenVBand="0" w:oddHBand="0" w:evenHBand="0" w:firstRowFirstColumn="0" w:firstRowLastColumn="0" w:lastRowFirstColumn="0" w:lastRowLastColumn="0"/>
              <w:rPr>
                <w:b w:val="0"/>
                <w:sz w:val="20"/>
                <w:szCs w:val="20"/>
              </w:rPr>
            </w:pPr>
            <w:r w:rsidRPr="00B974BA">
              <w:rPr>
                <w:b w:val="0"/>
                <w:sz w:val="20"/>
                <w:szCs w:val="20"/>
              </w:rPr>
              <w:t>7 - Intensive livestock production and aquaculture</w:t>
            </w:r>
          </w:p>
        </w:tc>
        <w:tc>
          <w:tcPr>
            <w:cnfStyle w:val="000010000000" w:firstRow="0" w:lastRow="0" w:firstColumn="0" w:lastColumn="0" w:oddVBand="1" w:evenVBand="0" w:oddHBand="0" w:evenHBand="0" w:firstRowFirstColumn="0" w:firstRowLastColumn="0" w:lastRowFirstColumn="0" w:lastRowLastColumn="0"/>
            <w:tcW w:w="1253" w:type="dxa"/>
            <w:gridSpan w:val="2"/>
            <w:tcBorders>
              <w:bottom w:val="single" w:sz="4" w:space="0" w:color="BFBFBF" w:themeColor="background1" w:themeShade="BF"/>
            </w:tcBorders>
            <w:shd w:val="clear" w:color="auto" w:fill="auto"/>
            <w:hideMark/>
          </w:tcPr>
          <w:p w:rsidR="00A543C6" w:rsidRPr="00B974BA" w:rsidRDefault="00A543C6" w:rsidP="00D603DD">
            <w:pPr>
              <w:rPr>
                <w:b w:val="0"/>
                <w:sz w:val="20"/>
                <w:szCs w:val="20"/>
              </w:rPr>
            </w:pPr>
            <w:r w:rsidRPr="00B974BA">
              <w:rPr>
                <w:b w:val="0"/>
                <w:sz w:val="20"/>
                <w:szCs w:val="20"/>
              </w:rPr>
              <w:t>8 - Animal and vegetable products from the food and beverage sector</w:t>
            </w:r>
          </w:p>
        </w:tc>
        <w:tc>
          <w:tcPr>
            <w:tcW w:w="1254" w:type="dxa"/>
            <w:gridSpan w:val="2"/>
            <w:tcBorders>
              <w:bottom w:val="single" w:sz="4" w:space="0" w:color="BFBFBF" w:themeColor="background1" w:themeShade="BF"/>
            </w:tcBorders>
            <w:shd w:val="clear" w:color="auto" w:fill="F2F2F2" w:themeFill="background1" w:themeFillShade="F2"/>
            <w:hideMark/>
          </w:tcPr>
          <w:p w:rsidR="00A543C6" w:rsidRPr="00B974BA" w:rsidRDefault="00A543C6" w:rsidP="00D603DD">
            <w:pPr>
              <w:cnfStyle w:val="100000000000" w:firstRow="1" w:lastRow="0" w:firstColumn="0" w:lastColumn="0" w:oddVBand="0" w:evenVBand="0" w:oddHBand="0" w:evenHBand="0" w:firstRowFirstColumn="0" w:firstRowLastColumn="0" w:lastRowFirstColumn="0" w:lastRowLastColumn="0"/>
              <w:rPr>
                <w:b w:val="0"/>
                <w:sz w:val="20"/>
                <w:szCs w:val="20"/>
              </w:rPr>
            </w:pPr>
            <w:r w:rsidRPr="00B974BA">
              <w:rPr>
                <w:b w:val="0"/>
                <w:sz w:val="20"/>
                <w:szCs w:val="20"/>
              </w:rPr>
              <w:t>9 - Other activities</w:t>
            </w:r>
          </w:p>
        </w:tc>
      </w:tr>
      <w:tr w:rsidR="00D603DD" w:rsidRPr="00B974BA" w:rsidTr="003C6D07">
        <w:trPr>
          <w:cnfStyle w:val="100000000000" w:firstRow="1" w:lastRow="0" w:firstColumn="0" w:lastColumn="0" w:oddVBand="0" w:evenVBand="0" w:oddHBand="0" w:evenHBand="0" w:firstRowFirstColumn="0" w:firstRowLastColumn="0" w:lastRowFirstColumn="0" w:lastRowLastColumn="0"/>
          <w:trHeight w:val="553"/>
          <w:tblHeader/>
        </w:trPr>
        <w:tc>
          <w:tcPr>
            <w:cnfStyle w:val="001000000000" w:firstRow="0" w:lastRow="0" w:firstColumn="1" w:lastColumn="0" w:oddVBand="0" w:evenVBand="0" w:oddHBand="0" w:evenHBand="0" w:firstRowFirstColumn="0" w:firstRowLastColumn="0" w:lastRowFirstColumn="0" w:lastRowLastColumn="0"/>
            <w:tcW w:w="3397" w:type="dxa"/>
            <w:vMerge/>
            <w:tcBorders>
              <w:bottom w:val="single" w:sz="4" w:space="0" w:color="auto"/>
            </w:tcBorders>
            <w:noWrap/>
            <w:hideMark/>
          </w:tcPr>
          <w:p w:rsidR="00A543C6" w:rsidRPr="00B974BA" w:rsidRDefault="00A543C6" w:rsidP="00A543C6">
            <w:pPr>
              <w:rPr>
                <w:b w:val="0"/>
                <w:sz w:val="20"/>
                <w:szCs w:val="20"/>
              </w:rPr>
            </w:pPr>
          </w:p>
        </w:tc>
        <w:tc>
          <w:tcPr>
            <w:cnfStyle w:val="000010000000" w:firstRow="0" w:lastRow="0" w:firstColumn="0" w:lastColumn="0" w:oddVBand="1" w:evenVBand="0" w:oddHBand="0" w:evenHBand="0" w:firstRowFirstColumn="0" w:firstRowLastColumn="0" w:lastRowFirstColumn="0" w:lastRowLastColumn="0"/>
            <w:tcW w:w="723" w:type="dxa"/>
            <w:vMerge/>
            <w:tcBorders>
              <w:bottom w:val="single" w:sz="4" w:space="0" w:color="auto"/>
            </w:tcBorders>
            <w:shd w:val="clear" w:color="auto" w:fill="auto"/>
            <w:noWrap/>
            <w:textDirection w:val="btLr"/>
            <w:vAlign w:val="center"/>
            <w:hideMark/>
          </w:tcPr>
          <w:p w:rsidR="00A543C6" w:rsidRPr="003C6D07" w:rsidRDefault="00A543C6" w:rsidP="00B974BA">
            <w:pPr>
              <w:jc w:val="center"/>
              <w:rPr>
                <w:sz w:val="20"/>
                <w:szCs w:val="20"/>
              </w:rPr>
            </w:pPr>
          </w:p>
        </w:tc>
        <w:tc>
          <w:tcPr>
            <w:tcW w:w="626" w:type="dxa"/>
            <w:tcBorders>
              <w:bottom w:val="single" w:sz="4" w:space="0" w:color="auto"/>
            </w:tcBorders>
            <w:shd w:val="clear" w:color="auto" w:fill="F2F2F2" w:themeFill="background1" w:themeFillShade="F2"/>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7" w:type="dxa"/>
            <w:tcBorders>
              <w:bottom w:val="single" w:sz="4" w:space="0" w:color="auto"/>
            </w:tcBorders>
            <w:noWrap/>
            <w:vAlign w:val="center"/>
            <w:hideMark/>
          </w:tcPr>
          <w:p w:rsidR="00A543C6" w:rsidRPr="00B974BA" w:rsidRDefault="00A543C6" w:rsidP="00B974BA">
            <w:pPr>
              <w:jc w:val="center"/>
              <w:rPr>
                <w:sz w:val="20"/>
                <w:szCs w:val="20"/>
              </w:rPr>
            </w:pPr>
            <w:r w:rsidRPr="00B974BA">
              <w:rPr>
                <w:sz w:val="20"/>
                <w:szCs w:val="20"/>
              </w:rPr>
              <w:t>% of 2019</w:t>
            </w:r>
          </w:p>
        </w:tc>
        <w:tc>
          <w:tcPr>
            <w:tcW w:w="626" w:type="dxa"/>
            <w:tcBorders>
              <w:bottom w:val="single" w:sz="4" w:space="0" w:color="auto"/>
            </w:tcBorders>
            <w:shd w:val="clear" w:color="auto" w:fill="auto"/>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7" w:type="dxa"/>
            <w:tcBorders>
              <w:bottom w:val="single" w:sz="4" w:space="0" w:color="auto"/>
            </w:tcBorders>
            <w:shd w:val="clear" w:color="auto" w:fill="auto"/>
            <w:noWrap/>
            <w:vAlign w:val="center"/>
            <w:hideMark/>
          </w:tcPr>
          <w:p w:rsidR="00A543C6" w:rsidRPr="00B974BA" w:rsidRDefault="00A543C6" w:rsidP="00B974BA">
            <w:pPr>
              <w:jc w:val="center"/>
              <w:rPr>
                <w:sz w:val="20"/>
                <w:szCs w:val="20"/>
              </w:rPr>
            </w:pPr>
            <w:r w:rsidRPr="00B974BA">
              <w:rPr>
                <w:sz w:val="20"/>
                <w:szCs w:val="20"/>
              </w:rPr>
              <w:t>% of 2019</w:t>
            </w:r>
          </w:p>
        </w:tc>
        <w:tc>
          <w:tcPr>
            <w:tcW w:w="627" w:type="dxa"/>
            <w:tcBorders>
              <w:bottom w:val="single" w:sz="4" w:space="0" w:color="auto"/>
            </w:tcBorders>
            <w:shd w:val="clear" w:color="auto" w:fill="F2F2F2" w:themeFill="background1" w:themeFillShade="F2"/>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6" w:type="dxa"/>
            <w:tcBorders>
              <w:bottom w:val="single" w:sz="4" w:space="0" w:color="auto"/>
            </w:tcBorders>
            <w:noWrap/>
            <w:vAlign w:val="center"/>
            <w:hideMark/>
          </w:tcPr>
          <w:p w:rsidR="00A543C6" w:rsidRPr="00B974BA" w:rsidRDefault="00A543C6" w:rsidP="00B974BA">
            <w:pPr>
              <w:jc w:val="center"/>
              <w:rPr>
                <w:sz w:val="20"/>
                <w:szCs w:val="20"/>
              </w:rPr>
            </w:pPr>
            <w:r w:rsidRPr="00B974BA">
              <w:rPr>
                <w:sz w:val="20"/>
                <w:szCs w:val="20"/>
              </w:rPr>
              <w:t>% of 2019</w:t>
            </w:r>
          </w:p>
        </w:tc>
        <w:tc>
          <w:tcPr>
            <w:tcW w:w="627" w:type="dxa"/>
            <w:tcBorders>
              <w:bottom w:val="single" w:sz="4" w:space="0" w:color="auto"/>
            </w:tcBorders>
            <w:shd w:val="clear" w:color="auto" w:fill="auto"/>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6" w:type="dxa"/>
            <w:tcBorders>
              <w:bottom w:val="single" w:sz="4" w:space="0" w:color="auto"/>
            </w:tcBorders>
            <w:shd w:val="clear" w:color="auto" w:fill="auto"/>
            <w:noWrap/>
            <w:vAlign w:val="center"/>
            <w:hideMark/>
          </w:tcPr>
          <w:p w:rsidR="00A543C6" w:rsidRPr="00B974BA" w:rsidRDefault="00A543C6" w:rsidP="00B974BA">
            <w:pPr>
              <w:jc w:val="center"/>
              <w:rPr>
                <w:sz w:val="20"/>
                <w:szCs w:val="20"/>
              </w:rPr>
            </w:pPr>
            <w:r w:rsidRPr="00B974BA">
              <w:rPr>
                <w:sz w:val="20"/>
                <w:szCs w:val="20"/>
              </w:rPr>
              <w:t>% of 2019</w:t>
            </w:r>
          </w:p>
        </w:tc>
        <w:tc>
          <w:tcPr>
            <w:tcW w:w="627" w:type="dxa"/>
            <w:tcBorders>
              <w:bottom w:val="single" w:sz="4" w:space="0" w:color="auto"/>
            </w:tcBorders>
            <w:shd w:val="clear" w:color="auto" w:fill="F2F2F2" w:themeFill="background1" w:themeFillShade="F2"/>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7" w:type="dxa"/>
            <w:tcBorders>
              <w:bottom w:val="single" w:sz="4" w:space="0" w:color="auto"/>
            </w:tcBorders>
            <w:noWrap/>
            <w:vAlign w:val="center"/>
            <w:hideMark/>
          </w:tcPr>
          <w:p w:rsidR="00A543C6" w:rsidRPr="00B974BA" w:rsidRDefault="00A543C6" w:rsidP="00B974BA">
            <w:pPr>
              <w:jc w:val="center"/>
              <w:rPr>
                <w:sz w:val="20"/>
                <w:szCs w:val="20"/>
              </w:rPr>
            </w:pPr>
            <w:r w:rsidRPr="00B974BA">
              <w:rPr>
                <w:sz w:val="20"/>
                <w:szCs w:val="20"/>
              </w:rPr>
              <w:t>% of 2019</w:t>
            </w:r>
          </w:p>
        </w:tc>
        <w:tc>
          <w:tcPr>
            <w:tcW w:w="626" w:type="dxa"/>
            <w:tcBorders>
              <w:bottom w:val="single" w:sz="4" w:space="0" w:color="auto"/>
            </w:tcBorders>
            <w:shd w:val="clear" w:color="auto" w:fill="auto"/>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7" w:type="dxa"/>
            <w:tcBorders>
              <w:bottom w:val="single" w:sz="4" w:space="0" w:color="auto"/>
            </w:tcBorders>
            <w:shd w:val="clear" w:color="auto" w:fill="auto"/>
            <w:noWrap/>
            <w:vAlign w:val="center"/>
            <w:hideMark/>
          </w:tcPr>
          <w:p w:rsidR="00A543C6" w:rsidRPr="00B974BA" w:rsidRDefault="00A543C6" w:rsidP="00B974BA">
            <w:pPr>
              <w:jc w:val="center"/>
              <w:rPr>
                <w:sz w:val="20"/>
                <w:szCs w:val="20"/>
              </w:rPr>
            </w:pPr>
            <w:r w:rsidRPr="00B974BA">
              <w:rPr>
                <w:sz w:val="20"/>
                <w:szCs w:val="20"/>
              </w:rPr>
              <w:t>% of 2019</w:t>
            </w:r>
          </w:p>
        </w:tc>
        <w:tc>
          <w:tcPr>
            <w:tcW w:w="626" w:type="dxa"/>
            <w:tcBorders>
              <w:bottom w:val="single" w:sz="4" w:space="0" w:color="auto"/>
            </w:tcBorders>
            <w:shd w:val="clear" w:color="auto" w:fill="F2F2F2" w:themeFill="background1" w:themeFillShade="F2"/>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7" w:type="dxa"/>
            <w:tcBorders>
              <w:bottom w:val="single" w:sz="4" w:space="0" w:color="auto"/>
            </w:tcBorders>
            <w:noWrap/>
            <w:vAlign w:val="center"/>
            <w:hideMark/>
          </w:tcPr>
          <w:p w:rsidR="00A543C6" w:rsidRPr="00B974BA" w:rsidRDefault="00A543C6" w:rsidP="00B974BA">
            <w:pPr>
              <w:jc w:val="center"/>
              <w:rPr>
                <w:sz w:val="20"/>
                <w:szCs w:val="20"/>
              </w:rPr>
            </w:pPr>
            <w:r w:rsidRPr="00B974BA">
              <w:rPr>
                <w:sz w:val="20"/>
                <w:szCs w:val="20"/>
              </w:rPr>
              <w:t>% of 2019</w:t>
            </w:r>
          </w:p>
        </w:tc>
        <w:tc>
          <w:tcPr>
            <w:tcW w:w="627" w:type="dxa"/>
            <w:tcBorders>
              <w:bottom w:val="single" w:sz="4" w:space="0" w:color="auto"/>
            </w:tcBorders>
            <w:shd w:val="clear" w:color="auto" w:fill="auto"/>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6" w:type="dxa"/>
            <w:tcBorders>
              <w:bottom w:val="single" w:sz="4" w:space="0" w:color="auto"/>
            </w:tcBorders>
            <w:shd w:val="clear" w:color="auto" w:fill="auto"/>
            <w:noWrap/>
            <w:vAlign w:val="center"/>
            <w:hideMark/>
          </w:tcPr>
          <w:p w:rsidR="00A543C6" w:rsidRPr="00B974BA" w:rsidRDefault="00A543C6" w:rsidP="00B974BA">
            <w:pPr>
              <w:jc w:val="center"/>
              <w:rPr>
                <w:sz w:val="20"/>
                <w:szCs w:val="20"/>
              </w:rPr>
            </w:pPr>
            <w:r w:rsidRPr="00B974BA">
              <w:rPr>
                <w:sz w:val="20"/>
                <w:szCs w:val="20"/>
              </w:rPr>
              <w:t>% of 2019</w:t>
            </w:r>
          </w:p>
        </w:tc>
        <w:tc>
          <w:tcPr>
            <w:tcW w:w="627" w:type="dxa"/>
            <w:tcBorders>
              <w:bottom w:val="single" w:sz="4" w:space="0" w:color="auto"/>
            </w:tcBorders>
            <w:shd w:val="clear" w:color="auto" w:fill="F2F2F2" w:themeFill="background1" w:themeFillShade="F2"/>
            <w:noWrap/>
            <w:vAlign w:val="center"/>
            <w:hideMark/>
          </w:tcPr>
          <w:p w:rsidR="00A543C6" w:rsidRPr="00B974BA" w:rsidRDefault="00A543C6" w:rsidP="00B974B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974BA">
              <w:rPr>
                <w:sz w:val="20"/>
                <w:szCs w:val="20"/>
              </w:rPr>
              <w:t>Sites</w:t>
            </w:r>
          </w:p>
        </w:tc>
        <w:tc>
          <w:tcPr>
            <w:cnfStyle w:val="000010000000" w:firstRow="0" w:lastRow="0" w:firstColumn="0" w:lastColumn="0" w:oddVBand="1" w:evenVBand="0" w:oddHBand="0" w:evenHBand="0" w:firstRowFirstColumn="0" w:firstRowLastColumn="0" w:lastRowFirstColumn="0" w:lastRowLastColumn="0"/>
            <w:tcW w:w="627" w:type="dxa"/>
            <w:tcBorders>
              <w:bottom w:val="single" w:sz="4" w:space="0" w:color="auto"/>
            </w:tcBorders>
            <w:noWrap/>
            <w:vAlign w:val="center"/>
            <w:hideMark/>
          </w:tcPr>
          <w:p w:rsidR="00A543C6" w:rsidRPr="00B974BA" w:rsidRDefault="00A543C6" w:rsidP="00B974BA">
            <w:pPr>
              <w:jc w:val="center"/>
              <w:rPr>
                <w:sz w:val="20"/>
                <w:szCs w:val="20"/>
              </w:rPr>
            </w:pPr>
            <w:r w:rsidRPr="00B974BA">
              <w:rPr>
                <w:sz w:val="20"/>
                <w:szCs w:val="20"/>
              </w:rPr>
              <w:t>% of 2019</w:t>
            </w:r>
          </w:p>
        </w:tc>
      </w:tr>
      <w:tr w:rsidR="00D603DD" w:rsidRPr="00B974BA" w:rsidTr="003C6D07">
        <w:trPr>
          <w:trHeight w:val="298"/>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tcBorders>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 xml:space="preserve">Ammonia </w:t>
            </w:r>
          </w:p>
        </w:tc>
        <w:tc>
          <w:tcPr>
            <w:cnfStyle w:val="000010000000" w:firstRow="0" w:lastRow="0" w:firstColumn="0" w:lastColumn="0" w:oddVBand="1" w:evenVBand="0" w:oddHBand="0" w:evenHBand="0" w:firstRowFirstColumn="0" w:firstRowLastColumn="0" w:lastRowFirstColumn="0" w:lastRowLastColumn="0"/>
            <w:tcW w:w="723" w:type="dxa"/>
            <w:tcBorders>
              <w:top w:val="single" w:sz="4" w:space="0" w:color="auto"/>
            </w:tcBorders>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119</w:t>
            </w:r>
          </w:p>
        </w:tc>
        <w:tc>
          <w:tcPr>
            <w:tcW w:w="626" w:type="dxa"/>
            <w:tcBorders>
              <w:top w:val="single" w:sz="4" w:space="0" w:color="auto"/>
            </w:tcBorders>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tcBorders>
              <w:top w:val="single" w:sz="4" w:space="0" w:color="auto"/>
            </w:tcBorders>
            <w:noWrap/>
            <w:vAlign w:val="center"/>
            <w:hideMark/>
          </w:tcPr>
          <w:p w:rsidR="00E9097B" w:rsidRPr="00B974BA" w:rsidRDefault="00E9097B" w:rsidP="00B974BA">
            <w:pPr>
              <w:jc w:val="center"/>
              <w:rPr>
                <w:sz w:val="20"/>
                <w:szCs w:val="20"/>
              </w:rPr>
            </w:pPr>
          </w:p>
        </w:tc>
        <w:tc>
          <w:tcPr>
            <w:tcW w:w="626" w:type="dxa"/>
            <w:tcBorders>
              <w:top w:val="single" w:sz="4" w:space="0" w:color="auto"/>
            </w:tcBorders>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tcBorders>
              <w:top w:val="single" w:sz="4" w:space="0" w:color="auto"/>
            </w:tcBorders>
            <w:shd w:val="clear" w:color="auto" w:fill="auto"/>
            <w:noWrap/>
            <w:vAlign w:val="center"/>
            <w:hideMark/>
          </w:tcPr>
          <w:p w:rsidR="00E9097B" w:rsidRPr="00B974BA" w:rsidRDefault="00E9097B" w:rsidP="00B974BA">
            <w:pPr>
              <w:jc w:val="center"/>
              <w:rPr>
                <w:sz w:val="20"/>
                <w:szCs w:val="20"/>
              </w:rPr>
            </w:pPr>
          </w:p>
        </w:tc>
        <w:tc>
          <w:tcPr>
            <w:tcW w:w="627" w:type="dxa"/>
            <w:tcBorders>
              <w:top w:val="single" w:sz="4" w:space="0" w:color="auto"/>
            </w:tcBorders>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tcBorders>
              <w:top w:val="single" w:sz="4" w:space="0" w:color="auto"/>
            </w:tcBorders>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w:t>
            </w:r>
          </w:p>
        </w:tc>
        <w:tc>
          <w:tcPr>
            <w:tcW w:w="627" w:type="dxa"/>
            <w:tcBorders>
              <w:top w:val="single" w:sz="4" w:space="0" w:color="auto"/>
            </w:tcBorders>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tcBorders>
              <w:top w:val="single" w:sz="4" w:space="0" w:color="auto"/>
            </w:tcBorders>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w:t>
            </w:r>
          </w:p>
        </w:tc>
        <w:tc>
          <w:tcPr>
            <w:tcW w:w="627" w:type="dxa"/>
            <w:tcBorders>
              <w:top w:val="single" w:sz="4" w:space="0" w:color="auto"/>
            </w:tcBorders>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9</w:t>
            </w:r>
          </w:p>
        </w:tc>
        <w:tc>
          <w:tcPr>
            <w:cnfStyle w:val="000010000000" w:firstRow="0" w:lastRow="0" w:firstColumn="0" w:lastColumn="0" w:oddVBand="1" w:evenVBand="0" w:oddHBand="0" w:evenHBand="0" w:firstRowFirstColumn="0" w:firstRowLastColumn="0" w:lastRowFirstColumn="0" w:lastRowLastColumn="0"/>
            <w:tcW w:w="627" w:type="dxa"/>
            <w:tcBorders>
              <w:top w:val="single" w:sz="4" w:space="0" w:color="auto"/>
            </w:tcBorders>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w:t>
            </w:r>
          </w:p>
        </w:tc>
        <w:tc>
          <w:tcPr>
            <w:tcW w:w="626" w:type="dxa"/>
            <w:tcBorders>
              <w:top w:val="single" w:sz="4" w:space="0" w:color="auto"/>
            </w:tcBorders>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tcBorders>
              <w:top w:val="single" w:sz="4" w:space="0" w:color="auto"/>
            </w:tcBorders>
            <w:shd w:val="clear" w:color="auto" w:fill="auto"/>
            <w:noWrap/>
            <w:vAlign w:val="center"/>
            <w:hideMark/>
          </w:tcPr>
          <w:p w:rsidR="00E9097B" w:rsidRPr="00B974BA" w:rsidRDefault="0004421B" w:rsidP="00B974BA">
            <w:pPr>
              <w:jc w:val="center"/>
              <w:rPr>
                <w:rFonts w:ascii="Calibri" w:hAnsi="Calibri"/>
                <w:color w:val="000000"/>
                <w:sz w:val="20"/>
                <w:szCs w:val="20"/>
              </w:rPr>
            </w:pPr>
            <w:r>
              <w:rPr>
                <w:rFonts w:ascii="Calibri" w:hAnsi="Calibri"/>
                <w:color w:val="000000"/>
                <w:sz w:val="20"/>
                <w:szCs w:val="20"/>
              </w:rPr>
              <w:t>&lt;1</w:t>
            </w:r>
            <w:r w:rsidR="00E9097B" w:rsidRPr="00B974BA">
              <w:rPr>
                <w:rFonts w:ascii="Calibri" w:hAnsi="Calibri"/>
                <w:color w:val="000000"/>
                <w:sz w:val="20"/>
                <w:szCs w:val="20"/>
              </w:rPr>
              <w:t>%</w:t>
            </w:r>
          </w:p>
        </w:tc>
        <w:tc>
          <w:tcPr>
            <w:tcW w:w="626" w:type="dxa"/>
            <w:tcBorders>
              <w:top w:val="single" w:sz="4" w:space="0" w:color="auto"/>
            </w:tcBorders>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106</w:t>
            </w:r>
          </w:p>
        </w:tc>
        <w:tc>
          <w:tcPr>
            <w:cnfStyle w:val="000010000000" w:firstRow="0" w:lastRow="0" w:firstColumn="0" w:lastColumn="0" w:oddVBand="1" w:evenVBand="0" w:oddHBand="0" w:evenHBand="0" w:firstRowFirstColumn="0" w:firstRowLastColumn="0" w:lastRowFirstColumn="0" w:lastRowLastColumn="0"/>
            <w:tcW w:w="627" w:type="dxa"/>
            <w:tcBorders>
              <w:top w:val="single" w:sz="4" w:space="0" w:color="auto"/>
            </w:tcBorders>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94%</w:t>
            </w:r>
          </w:p>
        </w:tc>
        <w:tc>
          <w:tcPr>
            <w:tcW w:w="627" w:type="dxa"/>
            <w:tcBorders>
              <w:top w:val="single" w:sz="4" w:space="0" w:color="auto"/>
            </w:tcBorders>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tcBorders>
              <w:top w:val="single" w:sz="4" w:space="0" w:color="auto"/>
            </w:tcBorders>
            <w:shd w:val="clear" w:color="auto" w:fill="auto"/>
            <w:noWrap/>
            <w:vAlign w:val="center"/>
            <w:hideMark/>
          </w:tcPr>
          <w:p w:rsidR="00E9097B" w:rsidRPr="00B974BA" w:rsidRDefault="00E9097B" w:rsidP="00B974BA">
            <w:pPr>
              <w:jc w:val="center"/>
              <w:rPr>
                <w:sz w:val="20"/>
                <w:szCs w:val="20"/>
              </w:rPr>
            </w:pPr>
          </w:p>
        </w:tc>
        <w:tc>
          <w:tcPr>
            <w:tcW w:w="627" w:type="dxa"/>
            <w:tcBorders>
              <w:top w:val="single" w:sz="4" w:space="0" w:color="auto"/>
            </w:tcBorders>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tcBorders>
              <w:top w:val="single" w:sz="4" w:space="0" w:color="auto"/>
            </w:tcBorders>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Antimony</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9</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57%</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Arsenic</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54%</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38%</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Benzene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3</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90%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Butadiene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4</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57%</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43%</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Cadmium</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7</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55%</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34%</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Carbon dioxide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84</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27</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58%</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6</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7%</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6%</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19%</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6</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D603DD" w:rsidP="00B974BA">
            <w:pPr>
              <w:jc w:val="center"/>
              <w:rPr>
                <w:rFonts w:ascii="Calibri" w:hAnsi="Calibri"/>
                <w:color w:val="000000"/>
                <w:sz w:val="20"/>
                <w:szCs w:val="20"/>
              </w:rPr>
            </w:pPr>
            <w:r>
              <w:rPr>
                <w:rFonts w:ascii="Calibri" w:hAnsi="Calibri"/>
                <w:color w:val="000000"/>
                <w:sz w:val="20"/>
                <w:szCs w:val="20"/>
              </w:rPr>
              <w:t>&lt;1</w:t>
            </w:r>
            <w:r w:rsidR="00E9097B" w:rsidRPr="00B974BA">
              <w:rPr>
                <w:rFonts w:ascii="Calibri" w:hAnsi="Calibri"/>
                <w:color w:val="000000"/>
                <w:sz w:val="20"/>
                <w:szCs w:val="20"/>
              </w:rPr>
              <w:t>%</w:t>
            </w: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Carbon monoxide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13</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38%</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31%</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13%</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8</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11%</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7%</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 xml:space="preserve">Chlorine and total inorganic chlorine compounds - as </w:t>
            </w:r>
            <w:proofErr w:type="spellStart"/>
            <w:r w:rsidRPr="00B974BA">
              <w:rPr>
                <w:rFonts w:ascii="Calibri" w:hAnsi="Calibri"/>
                <w:b w:val="0"/>
                <w:color w:val="000000"/>
                <w:sz w:val="20"/>
                <w:szCs w:val="20"/>
              </w:rPr>
              <w:t>HCl</w:t>
            </w:r>
            <w:proofErr w:type="spellEnd"/>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3</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32%</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29%</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40%</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Chlorofluorocarbons (CFCs)</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Chromium</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8</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45%</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Copper</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42%</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15%</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43%</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Dioxins and furans - as ITEQ</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4</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45%</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04421B" w:rsidP="00B974BA">
            <w:pPr>
              <w:jc w:val="center"/>
              <w:rPr>
                <w:rFonts w:ascii="Calibri" w:hAnsi="Calibri"/>
                <w:color w:val="000000"/>
                <w:sz w:val="20"/>
                <w:szCs w:val="20"/>
              </w:rPr>
            </w:pPr>
            <w:r>
              <w:rPr>
                <w:rFonts w:ascii="Calibri" w:hAnsi="Calibri"/>
                <w:color w:val="000000"/>
                <w:sz w:val="20"/>
                <w:szCs w:val="20"/>
              </w:rPr>
              <w:t>55%</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Dioxins and furans - as WHO TEQ</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4</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35%</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65%</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Ethylbenzene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Fluorine and total inorganic fluorine compounds - as HF</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96%</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Formaldehyde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5</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04421B" w:rsidP="00B974BA">
            <w:pPr>
              <w:jc w:val="center"/>
              <w:rPr>
                <w:rFonts w:ascii="Calibri" w:hAnsi="Calibri"/>
                <w:color w:val="000000"/>
                <w:sz w:val="20"/>
                <w:szCs w:val="20"/>
              </w:rPr>
            </w:pPr>
            <w:r>
              <w:rPr>
                <w:rFonts w:ascii="Calibri" w:hAnsi="Calibri"/>
                <w:color w:val="000000"/>
                <w:sz w:val="20"/>
                <w:szCs w:val="20"/>
              </w:rPr>
              <w:t>&lt;1</w:t>
            </w:r>
            <w:r w:rsidR="00E9097B" w:rsidRPr="00B974BA">
              <w:rPr>
                <w:rFonts w:ascii="Calibri" w:hAnsi="Calibri"/>
                <w:color w:val="000000"/>
                <w:sz w:val="20"/>
                <w:szCs w:val="20"/>
              </w:rPr>
              <w:t>%</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04421B" w:rsidP="00B974BA">
            <w:pPr>
              <w:jc w:val="center"/>
              <w:rPr>
                <w:rFonts w:ascii="Calibri" w:hAnsi="Calibri"/>
                <w:color w:val="000000"/>
                <w:sz w:val="20"/>
                <w:szCs w:val="20"/>
              </w:rPr>
            </w:pPr>
            <w:r>
              <w:rPr>
                <w:rFonts w:ascii="Calibri" w:hAnsi="Calibri"/>
                <w:color w:val="000000"/>
                <w:sz w:val="20"/>
                <w:szCs w:val="20"/>
              </w:rPr>
              <w:t>&lt;1</w:t>
            </w:r>
            <w:r w:rsidR="00E9097B" w:rsidRPr="00B974BA">
              <w:rPr>
                <w:rFonts w:ascii="Calibri" w:hAnsi="Calibri"/>
                <w:color w:val="000000"/>
                <w:sz w:val="20"/>
                <w:szCs w:val="20"/>
              </w:rPr>
              <w:t>%</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Hydrogen chloride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Hydrogen cyanide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Lead</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23%</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77%</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Manganese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4</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26%</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58%</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Mercury</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8</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9%</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54%</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38%</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Methane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106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17</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89280C" w:rsidP="00B974BA">
            <w:pPr>
              <w:jc w:val="center"/>
              <w:rPr>
                <w:rFonts w:ascii="Calibri" w:hAnsi="Calibri"/>
                <w:color w:val="000000"/>
                <w:sz w:val="20"/>
                <w:szCs w:val="20"/>
              </w:rPr>
            </w:pPr>
            <w:r>
              <w:rPr>
                <w:rFonts w:ascii="Calibri" w:hAnsi="Calibri"/>
                <w:color w:val="000000"/>
                <w:sz w:val="20"/>
                <w:szCs w:val="20"/>
              </w:rPr>
              <w:t>15%</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89280C" w:rsidP="00B974BA">
            <w:pPr>
              <w:jc w:val="center"/>
              <w:rPr>
                <w:rFonts w:ascii="Calibri" w:hAnsi="Calibri"/>
                <w:color w:val="000000"/>
                <w:sz w:val="20"/>
                <w:szCs w:val="20"/>
              </w:rPr>
            </w:pPr>
            <w:r>
              <w:rPr>
                <w:rFonts w:ascii="Calibri" w:hAnsi="Calibri"/>
                <w:color w:val="000000"/>
                <w:sz w:val="20"/>
                <w:szCs w:val="20"/>
              </w:rPr>
              <w:t>&lt;1</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89280C" w:rsidP="00B974BA">
            <w:pPr>
              <w:jc w:val="center"/>
              <w:rPr>
                <w:rFonts w:ascii="Calibri" w:hAnsi="Calibri"/>
                <w:color w:val="000000"/>
                <w:sz w:val="20"/>
                <w:szCs w:val="20"/>
              </w:rPr>
            </w:pPr>
            <w:r>
              <w:rPr>
                <w:rFonts w:ascii="Calibri" w:hAnsi="Calibri"/>
                <w:color w:val="000000"/>
                <w:sz w:val="20"/>
                <w:szCs w:val="20"/>
              </w:rPr>
              <w:t>1%</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62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81%</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89280C" w:rsidP="00B974BA">
            <w:pPr>
              <w:jc w:val="center"/>
              <w:rPr>
                <w:rFonts w:ascii="Calibri" w:hAnsi="Calibri"/>
                <w:color w:val="000000"/>
                <w:sz w:val="20"/>
                <w:szCs w:val="20"/>
              </w:rPr>
            </w:pPr>
            <w:r>
              <w:rPr>
                <w:rFonts w:ascii="Calibri" w:hAnsi="Calibri"/>
                <w:color w:val="000000"/>
                <w:sz w:val="20"/>
                <w:szCs w:val="20"/>
              </w:rPr>
              <w:t>&lt;1</w:t>
            </w:r>
            <w:r w:rsidR="00E9097B" w:rsidRPr="00B974BA">
              <w:rPr>
                <w:rFonts w:ascii="Calibri" w:hAnsi="Calibri"/>
                <w:color w:val="000000"/>
                <w:sz w:val="20"/>
                <w:szCs w:val="20"/>
              </w:rPr>
              <w:t>%</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lastRenderedPageBreak/>
              <w:t>Methyl chloride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Methyl chloroform</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3</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Methylene chloride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Naphthalene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Nickel</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7</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54%</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27%</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9%</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Nitrogen oxides, NO and NO2 as NO2</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28</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60%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16%</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7%</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6</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8%</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Nitrous oxide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6</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88%</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12%</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Non-methane volatile organic compounds (NMVOCs)</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41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20</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55%</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94514C" w:rsidP="00B974BA">
            <w:pPr>
              <w:jc w:val="center"/>
              <w:rPr>
                <w:rFonts w:ascii="Calibri" w:hAnsi="Calibri"/>
                <w:color w:val="000000"/>
                <w:sz w:val="20"/>
                <w:szCs w:val="20"/>
              </w:rPr>
            </w:pPr>
            <w:r>
              <w:rPr>
                <w:rFonts w:ascii="Calibri" w:hAnsi="Calibri"/>
                <w:color w:val="000000"/>
                <w:sz w:val="20"/>
                <w:szCs w:val="20"/>
              </w:rPr>
              <w:t>&lt;1</w:t>
            </w:r>
            <w:r w:rsidR="00E9097B" w:rsidRPr="00B974BA">
              <w:rPr>
                <w:rFonts w:ascii="Calibri" w:hAnsi="Calibri"/>
                <w:color w:val="000000"/>
                <w:sz w:val="20"/>
                <w:szCs w:val="20"/>
              </w:rPr>
              <w:t>%</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7</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31%</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6</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w:t>
            </w: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Particulate matter - PM10 and smaller</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14%</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16%</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10</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44%</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7%</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7</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19%</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Particulate matter - total</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8</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28%</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22%</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7%</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7%</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36%</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Particulates - PM2.5 and smaller only</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4</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17%</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30%</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52%</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proofErr w:type="spellStart"/>
            <w:r w:rsidRPr="00B974BA">
              <w:rPr>
                <w:rFonts w:ascii="Calibri" w:hAnsi="Calibri"/>
                <w:b w:val="0"/>
                <w:color w:val="000000"/>
                <w:sz w:val="20"/>
                <w:szCs w:val="20"/>
              </w:rPr>
              <w:t>Hydrochlorofluorocarbons</w:t>
            </w:r>
            <w:proofErr w:type="spellEnd"/>
            <w:r w:rsidRPr="00B974BA">
              <w:rPr>
                <w:rFonts w:ascii="Calibri" w:hAnsi="Calibri"/>
                <w:b w:val="0"/>
                <w:color w:val="000000"/>
                <w:sz w:val="20"/>
                <w:szCs w:val="20"/>
              </w:rPr>
              <w:t xml:space="preserve"> (HCFCs)</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23</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98%</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Hydrofluorocarbons (HFCs)</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Perfluorocarbons (PFCs)</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3</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80%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Phenols - total as C</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7001CD">
            <w:pPr>
              <w:rPr>
                <w:rFonts w:ascii="Calibri" w:hAnsi="Calibri"/>
                <w:b w:val="0"/>
                <w:color w:val="000000"/>
                <w:sz w:val="20"/>
                <w:szCs w:val="20"/>
              </w:rPr>
            </w:pPr>
            <w:r w:rsidRPr="00B974BA">
              <w:rPr>
                <w:rFonts w:ascii="Calibri" w:hAnsi="Calibri"/>
                <w:b w:val="0"/>
                <w:color w:val="000000"/>
                <w:sz w:val="20"/>
                <w:szCs w:val="20"/>
              </w:rPr>
              <w:t xml:space="preserve">Polycyclic aromatic hydrocarbons (PAHs) </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Selenium</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Styrene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Sulphur hexafluoride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Sulphur oxides, SO2 and SO3 as SO2</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9</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66%</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11%</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23%</w:t>
            </w: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proofErr w:type="spellStart"/>
            <w:r w:rsidRPr="00B974BA">
              <w:rPr>
                <w:rFonts w:ascii="Calibri" w:hAnsi="Calibri"/>
                <w:b w:val="0"/>
                <w:color w:val="000000"/>
                <w:sz w:val="20"/>
                <w:szCs w:val="20"/>
              </w:rPr>
              <w:t>Tetrachloroethane</w:t>
            </w:r>
            <w:proofErr w:type="spellEnd"/>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1</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Toluene</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9</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86%</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C52628" w:rsidP="00B974BA">
            <w:pPr>
              <w:jc w:val="center"/>
              <w:rPr>
                <w:rFonts w:ascii="Calibri" w:hAnsi="Calibri"/>
                <w:color w:val="000000"/>
                <w:sz w:val="20"/>
                <w:szCs w:val="20"/>
              </w:rPr>
            </w:pPr>
            <w:r>
              <w:rPr>
                <w:rFonts w:ascii="Calibri" w:hAnsi="Calibri"/>
                <w:color w:val="000000"/>
                <w:sz w:val="20"/>
                <w:szCs w:val="20"/>
              </w:rPr>
              <w:t>13%</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C52628" w:rsidP="00B974BA">
            <w:pPr>
              <w:jc w:val="center"/>
              <w:rPr>
                <w:rFonts w:ascii="Calibri" w:hAnsi="Calibri"/>
                <w:color w:val="000000"/>
                <w:sz w:val="20"/>
                <w:szCs w:val="20"/>
              </w:rPr>
            </w:pPr>
            <w:r>
              <w:rPr>
                <w:rFonts w:ascii="Calibri" w:hAnsi="Calibri"/>
                <w:color w:val="000000"/>
                <w:sz w:val="20"/>
                <w:szCs w:val="20"/>
              </w:rPr>
              <w:t>&lt;1</w:t>
            </w:r>
            <w:r w:rsidR="00E9097B" w:rsidRPr="00B974BA">
              <w:rPr>
                <w:rFonts w:ascii="Calibri" w:hAnsi="Calibri"/>
                <w:color w:val="000000"/>
                <w:sz w:val="20"/>
                <w:szCs w:val="20"/>
              </w:rPr>
              <w:t>%</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2%</w:t>
            </w: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Vanadium</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100%</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r w:rsidR="00D603DD" w:rsidRPr="00B974BA" w:rsidTr="00D603DD">
        <w:trPr>
          <w:trHeight w:val="298"/>
        </w:trPr>
        <w:tc>
          <w:tcPr>
            <w:cnfStyle w:val="001000000000" w:firstRow="0" w:lastRow="0" w:firstColumn="1" w:lastColumn="0" w:oddVBand="0" w:evenVBand="0" w:oddHBand="0" w:evenHBand="0" w:firstRowFirstColumn="0" w:firstRowLastColumn="0" w:lastRowFirstColumn="0" w:lastRowLastColumn="0"/>
            <w:tcW w:w="3397" w:type="dxa"/>
            <w:noWrap/>
            <w:hideMark/>
          </w:tcPr>
          <w:p w:rsidR="00E9097B" w:rsidRPr="00B974BA" w:rsidRDefault="00E9097B" w:rsidP="00E9097B">
            <w:pPr>
              <w:rPr>
                <w:rFonts w:ascii="Calibri" w:hAnsi="Calibri"/>
                <w:b w:val="0"/>
                <w:color w:val="000000"/>
                <w:sz w:val="20"/>
                <w:szCs w:val="20"/>
              </w:rPr>
            </w:pPr>
            <w:r w:rsidRPr="00B974BA">
              <w:rPr>
                <w:rFonts w:ascii="Calibri" w:hAnsi="Calibri"/>
                <w:b w:val="0"/>
                <w:color w:val="000000"/>
                <w:sz w:val="20"/>
                <w:szCs w:val="20"/>
              </w:rPr>
              <w:t>Xylene - all isomers</w:t>
            </w:r>
          </w:p>
        </w:tc>
        <w:tc>
          <w:tcPr>
            <w:cnfStyle w:val="000010000000" w:firstRow="0" w:lastRow="0" w:firstColumn="0" w:lastColumn="0" w:oddVBand="1" w:evenVBand="0" w:oddHBand="0" w:evenHBand="0" w:firstRowFirstColumn="0" w:firstRowLastColumn="0" w:lastRowFirstColumn="0" w:lastRowLastColumn="0"/>
            <w:tcW w:w="723" w:type="dxa"/>
            <w:shd w:val="clear" w:color="auto" w:fill="auto"/>
            <w:noWrap/>
            <w:vAlign w:val="center"/>
            <w:hideMark/>
          </w:tcPr>
          <w:p w:rsidR="00E9097B" w:rsidRPr="003C6D07" w:rsidRDefault="00E9097B" w:rsidP="00B974BA">
            <w:pPr>
              <w:jc w:val="center"/>
              <w:rPr>
                <w:rFonts w:ascii="Calibri" w:hAnsi="Calibri"/>
                <w:b/>
                <w:color w:val="000000"/>
                <w:sz w:val="20"/>
                <w:szCs w:val="20"/>
              </w:rPr>
            </w:pPr>
            <w:r w:rsidRPr="003C6D07">
              <w:rPr>
                <w:rFonts w:ascii="Calibri" w:hAnsi="Calibri"/>
                <w:b/>
                <w:color w:val="000000"/>
                <w:sz w:val="20"/>
                <w:szCs w:val="20"/>
              </w:rPr>
              <w:t>2</w:t>
            </w: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96%</w:t>
            </w: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974BA">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rFonts w:ascii="Calibri" w:hAnsi="Calibri"/>
                <w:color w:val="000000"/>
                <w:sz w:val="20"/>
                <w:szCs w:val="20"/>
              </w:rPr>
            </w:pPr>
            <w:r w:rsidRPr="00B974BA">
              <w:rPr>
                <w:rFonts w:ascii="Calibri" w:hAnsi="Calibri"/>
                <w:color w:val="000000"/>
                <w:sz w:val="20"/>
                <w:szCs w:val="20"/>
              </w:rPr>
              <w:t>4%</w:t>
            </w: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6"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shd w:val="clear" w:color="auto" w:fill="auto"/>
            <w:noWrap/>
            <w:vAlign w:val="center"/>
            <w:hideMark/>
          </w:tcPr>
          <w:p w:rsidR="00E9097B" w:rsidRPr="00B974BA" w:rsidRDefault="00E9097B" w:rsidP="00B974BA">
            <w:pPr>
              <w:jc w:val="center"/>
              <w:rPr>
                <w:sz w:val="20"/>
                <w:szCs w:val="20"/>
              </w:rPr>
            </w:pPr>
          </w:p>
        </w:tc>
        <w:tc>
          <w:tcPr>
            <w:tcW w:w="626"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c>
          <w:tcPr>
            <w:tcW w:w="627" w:type="dxa"/>
            <w:shd w:val="clear" w:color="auto" w:fill="auto"/>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6" w:type="dxa"/>
            <w:shd w:val="clear" w:color="auto" w:fill="auto"/>
            <w:noWrap/>
            <w:vAlign w:val="center"/>
            <w:hideMark/>
          </w:tcPr>
          <w:p w:rsidR="00E9097B" w:rsidRPr="00B974BA" w:rsidRDefault="00E9097B" w:rsidP="00B974BA">
            <w:pPr>
              <w:jc w:val="center"/>
              <w:rPr>
                <w:sz w:val="20"/>
                <w:szCs w:val="20"/>
              </w:rPr>
            </w:pPr>
          </w:p>
        </w:tc>
        <w:tc>
          <w:tcPr>
            <w:tcW w:w="627" w:type="dxa"/>
            <w:shd w:val="clear" w:color="auto" w:fill="F2F2F2" w:themeFill="background1" w:themeFillShade="F2"/>
            <w:noWrap/>
            <w:vAlign w:val="center"/>
            <w:hideMark/>
          </w:tcPr>
          <w:p w:rsidR="00E9097B" w:rsidRPr="00B974BA" w:rsidRDefault="00E9097B" w:rsidP="00B974BA">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627" w:type="dxa"/>
            <w:noWrap/>
            <w:vAlign w:val="center"/>
            <w:hideMark/>
          </w:tcPr>
          <w:p w:rsidR="00E9097B" w:rsidRPr="00B974BA" w:rsidRDefault="00E9097B" w:rsidP="00B974BA">
            <w:pPr>
              <w:jc w:val="center"/>
              <w:rPr>
                <w:sz w:val="20"/>
                <w:szCs w:val="20"/>
              </w:rPr>
            </w:pPr>
          </w:p>
        </w:tc>
      </w:tr>
    </w:tbl>
    <w:p w:rsidR="008A1DD4" w:rsidRDefault="008A1DD4" w:rsidP="00A543C6">
      <w:pPr>
        <w:sectPr w:rsidR="008A1DD4" w:rsidSect="009A0A87">
          <w:pgSz w:w="16838" w:h="11906" w:orient="landscape"/>
          <w:pgMar w:top="720" w:right="720" w:bottom="720" w:left="720" w:header="0" w:footer="227" w:gutter="0"/>
          <w:cols w:space="708"/>
          <w:docGrid w:linePitch="360"/>
        </w:sectPr>
      </w:pPr>
    </w:p>
    <w:p w:rsidR="008A1DD4" w:rsidRPr="00682428" w:rsidRDefault="008A1DD4" w:rsidP="008A1DD4">
      <w:pPr>
        <w:rPr>
          <w:i/>
        </w:rPr>
      </w:pPr>
      <w:bookmarkStart w:id="6" w:name="Table3"/>
      <w:r w:rsidRPr="00682428">
        <w:rPr>
          <w:i/>
        </w:rPr>
        <w:lastRenderedPageBreak/>
        <w:t xml:space="preserve">Table </w:t>
      </w:r>
      <w:r w:rsidR="004C66F0">
        <w:rPr>
          <w:i/>
        </w:rPr>
        <w:t>3</w:t>
      </w:r>
      <w:r w:rsidRPr="00682428">
        <w:rPr>
          <w:i/>
        </w:rPr>
        <w:t xml:space="preserve">: Total </w:t>
      </w:r>
      <w:r w:rsidR="00DC1AC0">
        <w:rPr>
          <w:i/>
        </w:rPr>
        <w:t xml:space="preserve">ART </w:t>
      </w:r>
      <w:r w:rsidRPr="00682428">
        <w:rPr>
          <w:i/>
        </w:rPr>
        <w:t>emissions to water by pollutant and industry sector</w:t>
      </w:r>
      <w:r w:rsidR="00E1501B">
        <w:rPr>
          <w:i/>
        </w:rPr>
        <w:t xml:space="preserve"> for 2019</w:t>
      </w:r>
      <w:r w:rsidRPr="00682428">
        <w:rPr>
          <w:i/>
        </w:rPr>
        <w:t xml:space="preserve">. </w:t>
      </w:r>
      <w:bookmarkEnd w:id="6"/>
      <w:r w:rsidRPr="00682428">
        <w:rPr>
          <w:i/>
        </w:rPr>
        <w:t>All values are kg.</w:t>
      </w:r>
    </w:p>
    <w:tbl>
      <w:tblPr>
        <w:tblStyle w:val="PlainTable1"/>
        <w:tblW w:w="10482" w:type="dxa"/>
        <w:tblLayout w:type="fixed"/>
        <w:tblCellMar>
          <w:left w:w="57" w:type="dxa"/>
          <w:right w:w="57" w:type="dxa"/>
        </w:tblCellMar>
        <w:tblLook w:val="02A0" w:firstRow="1" w:lastRow="0" w:firstColumn="1" w:lastColumn="0" w:noHBand="1" w:noVBand="0"/>
      </w:tblPr>
      <w:tblGrid>
        <w:gridCol w:w="2405"/>
        <w:gridCol w:w="992"/>
        <w:gridCol w:w="1077"/>
        <w:gridCol w:w="964"/>
        <w:gridCol w:w="964"/>
        <w:gridCol w:w="1077"/>
        <w:gridCol w:w="794"/>
        <w:gridCol w:w="1134"/>
        <w:gridCol w:w="1075"/>
      </w:tblGrid>
      <w:tr w:rsidR="008A1DD4" w:rsidRPr="002518B6" w:rsidTr="002F45D2">
        <w:trPr>
          <w:cnfStyle w:val="100000000000" w:firstRow="1" w:lastRow="0" w:firstColumn="0" w:lastColumn="0" w:oddVBand="0" w:evenVBand="0" w:oddHBand="0" w:evenHBand="0" w:firstRowFirstColumn="0" w:firstRowLastColumn="0" w:lastRowFirstColumn="0" w:lastRowLastColumn="0"/>
          <w:trHeight w:val="1979"/>
          <w:tblHead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noWrap/>
            <w:hideMark/>
          </w:tcPr>
          <w:p w:rsidR="008A1DD4" w:rsidRPr="002518B6" w:rsidRDefault="008A1DD4" w:rsidP="00682428">
            <w:pPr>
              <w:rPr>
                <w:b w:val="0"/>
                <w:sz w:val="20"/>
                <w:szCs w:val="20"/>
              </w:rPr>
            </w:pPr>
            <w:r w:rsidRPr="002518B6">
              <w:rPr>
                <w:b w:val="0"/>
                <w:sz w:val="20"/>
                <w:szCs w:val="20"/>
              </w:rPr>
              <w:t>Pollutant name</w:t>
            </w:r>
          </w:p>
        </w:tc>
        <w:tc>
          <w:tcPr>
            <w:cnfStyle w:val="000010000000" w:firstRow="0" w:lastRow="0" w:firstColumn="0" w:lastColumn="0" w:oddVBand="1" w:evenVBand="0" w:oddHBand="0" w:evenHBand="0" w:firstRowFirstColumn="0" w:firstRowLastColumn="0" w:lastRowFirstColumn="0" w:lastRowLastColumn="0"/>
            <w:tcW w:w="992" w:type="dxa"/>
            <w:tcBorders>
              <w:bottom w:val="single" w:sz="4" w:space="0" w:color="auto"/>
            </w:tcBorders>
            <w:noWrap/>
            <w:hideMark/>
          </w:tcPr>
          <w:p w:rsidR="008A1DD4" w:rsidRPr="003B53E0" w:rsidRDefault="008A1DD4" w:rsidP="00682428">
            <w:pPr>
              <w:rPr>
                <w:b w:val="0"/>
                <w:i/>
                <w:sz w:val="20"/>
                <w:szCs w:val="20"/>
              </w:rPr>
            </w:pPr>
            <w:r w:rsidRPr="003B53E0">
              <w:rPr>
                <w:b w:val="0"/>
                <w:i/>
                <w:sz w:val="20"/>
                <w:szCs w:val="20"/>
              </w:rPr>
              <w:t>Threshold (Kg)</w:t>
            </w:r>
          </w:p>
        </w:tc>
        <w:tc>
          <w:tcPr>
            <w:tcW w:w="1077" w:type="dxa"/>
            <w:tcBorders>
              <w:bottom w:val="single" w:sz="4" w:space="0" w:color="auto"/>
            </w:tcBorders>
            <w:noWrap/>
            <w:hideMark/>
          </w:tcPr>
          <w:p w:rsidR="008A1DD4" w:rsidRPr="002F45D2" w:rsidRDefault="008A1DD4" w:rsidP="00682428">
            <w:pPr>
              <w:cnfStyle w:val="100000000000" w:firstRow="1" w:lastRow="0" w:firstColumn="0" w:lastColumn="0" w:oddVBand="0" w:evenVBand="0" w:oddHBand="0" w:evenHBand="0" w:firstRowFirstColumn="0" w:firstRowLastColumn="0" w:lastRowFirstColumn="0" w:lastRowLastColumn="0"/>
              <w:rPr>
                <w:sz w:val="20"/>
                <w:szCs w:val="20"/>
              </w:rPr>
            </w:pPr>
            <w:r w:rsidRPr="002F45D2">
              <w:rPr>
                <w:sz w:val="20"/>
                <w:szCs w:val="20"/>
              </w:rPr>
              <w:t>Total Release (Kg)</w:t>
            </w:r>
          </w:p>
        </w:tc>
        <w:tc>
          <w:tcPr>
            <w:cnfStyle w:val="000010000000" w:firstRow="0" w:lastRow="0" w:firstColumn="0" w:lastColumn="0" w:oddVBand="1" w:evenVBand="0" w:oddHBand="0" w:evenHBand="0" w:firstRowFirstColumn="0" w:firstRowLastColumn="0" w:lastRowFirstColumn="0" w:lastRowLastColumn="0"/>
            <w:tcW w:w="964" w:type="dxa"/>
            <w:tcBorders>
              <w:bottom w:val="single" w:sz="4" w:space="0" w:color="auto"/>
            </w:tcBorders>
            <w:hideMark/>
          </w:tcPr>
          <w:p w:rsidR="008A1DD4" w:rsidRPr="002518B6" w:rsidRDefault="008A1DD4" w:rsidP="00682428">
            <w:pPr>
              <w:rPr>
                <w:b w:val="0"/>
                <w:sz w:val="20"/>
                <w:szCs w:val="20"/>
              </w:rPr>
            </w:pPr>
            <w:r w:rsidRPr="002518B6">
              <w:rPr>
                <w:b w:val="0"/>
                <w:sz w:val="20"/>
                <w:szCs w:val="20"/>
              </w:rPr>
              <w:t>1 - Energy sector</w:t>
            </w:r>
          </w:p>
        </w:tc>
        <w:tc>
          <w:tcPr>
            <w:tcW w:w="964" w:type="dxa"/>
            <w:tcBorders>
              <w:bottom w:val="single" w:sz="4" w:space="0" w:color="auto"/>
            </w:tcBorders>
            <w:hideMark/>
          </w:tcPr>
          <w:p w:rsidR="008A1DD4" w:rsidRPr="002518B6" w:rsidRDefault="008A1DD4" w:rsidP="00682428">
            <w:pPr>
              <w:cnfStyle w:val="100000000000" w:firstRow="1" w:lastRow="0" w:firstColumn="0" w:lastColumn="0" w:oddVBand="0" w:evenVBand="0" w:oddHBand="0" w:evenHBand="0" w:firstRowFirstColumn="0" w:firstRowLastColumn="0" w:lastRowFirstColumn="0" w:lastRowLastColumn="0"/>
              <w:rPr>
                <w:b w:val="0"/>
                <w:sz w:val="20"/>
                <w:szCs w:val="20"/>
              </w:rPr>
            </w:pPr>
            <w:r w:rsidRPr="002518B6">
              <w:rPr>
                <w:b w:val="0"/>
                <w:sz w:val="20"/>
                <w:szCs w:val="20"/>
              </w:rPr>
              <w:t>4 - Chemical industry</w:t>
            </w:r>
          </w:p>
        </w:tc>
        <w:tc>
          <w:tcPr>
            <w:cnfStyle w:val="000010000000" w:firstRow="0" w:lastRow="0" w:firstColumn="0" w:lastColumn="0" w:oddVBand="1" w:evenVBand="0" w:oddHBand="0" w:evenHBand="0" w:firstRowFirstColumn="0" w:firstRowLastColumn="0" w:lastRowFirstColumn="0" w:lastRowLastColumn="0"/>
            <w:tcW w:w="1077" w:type="dxa"/>
            <w:tcBorders>
              <w:bottom w:val="single" w:sz="4" w:space="0" w:color="auto"/>
            </w:tcBorders>
            <w:hideMark/>
          </w:tcPr>
          <w:p w:rsidR="008A1DD4" w:rsidRPr="002518B6" w:rsidRDefault="008A1DD4" w:rsidP="00682428">
            <w:pPr>
              <w:rPr>
                <w:b w:val="0"/>
                <w:sz w:val="20"/>
                <w:szCs w:val="20"/>
              </w:rPr>
            </w:pPr>
            <w:r>
              <w:rPr>
                <w:b w:val="0"/>
                <w:sz w:val="20"/>
                <w:szCs w:val="20"/>
              </w:rPr>
              <w:t>5 - Waste and waste-water m/</w:t>
            </w:r>
            <w:proofErr w:type="spellStart"/>
            <w:r w:rsidRPr="002518B6">
              <w:rPr>
                <w:b w:val="0"/>
                <w:sz w:val="20"/>
                <w:szCs w:val="20"/>
              </w:rPr>
              <w:t>ment</w:t>
            </w:r>
            <w:proofErr w:type="spellEnd"/>
          </w:p>
        </w:tc>
        <w:tc>
          <w:tcPr>
            <w:tcW w:w="794" w:type="dxa"/>
            <w:tcBorders>
              <w:bottom w:val="single" w:sz="4" w:space="0" w:color="auto"/>
            </w:tcBorders>
            <w:hideMark/>
          </w:tcPr>
          <w:p w:rsidR="008A1DD4" w:rsidRPr="002518B6" w:rsidRDefault="008A1DD4" w:rsidP="00682428">
            <w:pPr>
              <w:cnfStyle w:val="100000000000" w:firstRow="1" w:lastRow="0" w:firstColumn="0" w:lastColumn="0" w:oddVBand="0" w:evenVBand="0" w:oddHBand="0" w:evenHBand="0" w:firstRowFirstColumn="0" w:firstRowLastColumn="0" w:lastRowFirstColumn="0" w:lastRowLastColumn="0"/>
              <w:rPr>
                <w:b w:val="0"/>
                <w:sz w:val="20"/>
                <w:szCs w:val="20"/>
              </w:rPr>
            </w:pPr>
            <w:r w:rsidRPr="002518B6">
              <w:rPr>
                <w:b w:val="0"/>
                <w:sz w:val="20"/>
                <w:szCs w:val="20"/>
              </w:rPr>
              <w:t>6 - Paper and wood production and processing</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hideMark/>
          </w:tcPr>
          <w:p w:rsidR="008A1DD4" w:rsidRPr="002518B6" w:rsidRDefault="008A1DD4" w:rsidP="00682428">
            <w:pPr>
              <w:rPr>
                <w:b w:val="0"/>
                <w:sz w:val="20"/>
                <w:szCs w:val="20"/>
              </w:rPr>
            </w:pPr>
            <w:r w:rsidRPr="002518B6">
              <w:rPr>
                <w:b w:val="0"/>
                <w:sz w:val="20"/>
                <w:szCs w:val="20"/>
              </w:rPr>
              <w:t>7 - Intensive livestock production and aquaculture</w:t>
            </w:r>
          </w:p>
        </w:tc>
        <w:tc>
          <w:tcPr>
            <w:tcW w:w="1075" w:type="dxa"/>
            <w:tcBorders>
              <w:bottom w:val="single" w:sz="4" w:space="0" w:color="auto"/>
            </w:tcBorders>
            <w:hideMark/>
          </w:tcPr>
          <w:p w:rsidR="008A1DD4" w:rsidRPr="002518B6" w:rsidRDefault="008A1DD4" w:rsidP="00682428">
            <w:pPr>
              <w:cnfStyle w:val="100000000000" w:firstRow="1" w:lastRow="0" w:firstColumn="0" w:lastColumn="0" w:oddVBand="0" w:evenVBand="0" w:oddHBand="0" w:evenHBand="0" w:firstRowFirstColumn="0" w:firstRowLastColumn="0" w:lastRowFirstColumn="0" w:lastRowLastColumn="0"/>
              <w:rPr>
                <w:b w:val="0"/>
                <w:sz w:val="20"/>
                <w:szCs w:val="20"/>
              </w:rPr>
            </w:pPr>
            <w:r w:rsidRPr="002518B6">
              <w:rPr>
                <w:b w:val="0"/>
                <w:sz w:val="20"/>
                <w:szCs w:val="20"/>
              </w:rPr>
              <w:t>8 - Animal and vegetable products from the food and beverage sector</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 xml:space="preserve">Ammonia </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tcBorders>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w:t>
            </w:r>
          </w:p>
        </w:tc>
        <w:tc>
          <w:tcPr>
            <w:tcW w:w="1077" w:type="dxa"/>
            <w:tcBorders>
              <w:top w:val="single" w:sz="4" w:space="0" w:color="auto"/>
            </w:tcBorders>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7,730,352</w:t>
            </w:r>
          </w:p>
        </w:tc>
        <w:tc>
          <w:tcPr>
            <w:cnfStyle w:val="000010000000" w:firstRow="0" w:lastRow="0" w:firstColumn="0" w:lastColumn="0" w:oddVBand="1" w:evenVBand="0" w:oddHBand="0" w:evenHBand="0" w:firstRowFirstColumn="0" w:firstRowLastColumn="0" w:lastRowFirstColumn="0" w:lastRowLastColumn="0"/>
            <w:tcW w:w="964" w:type="dxa"/>
            <w:tcBorders>
              <w:top w:val="single" w:sz="4" w:space="0" w:color="auto"/>
            </w:tcBorders>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2,750</w:t>
            </w:r>
          </w:p>
        </w:tc>
        <w:tc>
          <w:tcPr>
            <w:tcW w:w="964" w:type="dxa"/>
            <w:tcBorders>
              <w:top w:val="single" w:sz="4" w:space="0" w:color="auto"/>
            </w:tcBorders>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82</w:t>
            </w:r>
          </w:p>
        </w:tc>
        <w:tc>
          <w:tcPr>
            <w:cnfStyle w:val="000010000000" w:firstRow="0" w:lastRow="0" w:firstColumn="0" w:lastColumn="0" w:oddVBand="1" w:evenVBand="0" w:oddHBand="0" w:evenHBand="0" w:firstRowFirstColumn="0" w:firstRowLastColumn="0" w:lastRowFirstColumn="0" w:lastRowLastColumn="0"/>
            <w:tcW w:w="1077" w:type="dxa"/>
            <w:tcBorders>
              <w:top w:val="single" w:sz="4" w:space="0" w:color="auto"/>
            </w:tcBorders>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5,609,013</w:t>
            </w:r>
          </w:p>
        </w:tc>
        <w:tc>
          <w:tcPr>
            <w:tcW w:w="794" w:type="dxa"/>
            <w:tcBorders>
              <w:top w:val="single" w:sz="4" w:space="0" w:color="auto"/>
            </w:tcBorders>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noWrap/>
            <w:hideMark/>
          </w:tcPr>
          <w:p w:rsidR="00274C70" w:rsidRPr="002F45D2" w:rsidRDefault="00274C70" w:rsidP="00274C70">
            <w:pPr>
              <w:rPr>
                <w:sz w:val="20"/>
                <w:szCs w:val="20"/>
              </w:rPr>
            </w:pPr>
          </w:p>
        </w:tc>
        <w:tc>
          <w:tcPr>
            <w:tcW w:w="1075" w:type="dxa"/>
            <w:tcBorders>
              <w:top w:val="single" w:sz="4" w:space="0" w:color="auto"/>
            </w:tcBorders>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2,118,507</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Anthracene</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45.31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11.50</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33.81</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Arsenic</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502.13</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26.70</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18.10</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457.33</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Asbestos</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73.81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73.81</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Azamethiphos</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285.83</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rPr>
                <w:sz w:val="20"/>
                <w:szCs w:val="20"/>
              </w:rPr>
            </w:pPr>
          </w:p>
        </w:tc>
        <w:tc>
          <w:tcPr>
            <w:tcW w:w="79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285.83</w:t>
            </w: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Benzene</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2,047.0</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1,469.0</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578.0</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p>
        </w:tc>
        <w:tc>
          <w:tcPr>
            <w:tcW w:w="79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Benzo (</w:t>
            </w:r>
            <w:proofErr w:type="spellStart"/>
            <w:r w:rsidRPr="002F45D2">
              <w:rPr>
                <w:rFonts w:ascii="Calibri" w:hAnsi="Calibri"/>
                <w:b w:val="0"/>
                <w:color w:val="000000"/>
                <w:sz w:val="20"/>
                <w:szCs w:val="20"/>
              </w:rPr>
              <w:t>g,h,i</w:t>
            </w:r>
            <w:proofErr w:type="spellEnd"/>
            <w:r w:rsidRPr="002F45D2">
              <w:rPr>
                <w:rFonts w:ascii="Calibri" w:hAnsi="Calibri"/>
                <w:b w:val="0"/>
                <w:color w:val="000000"/>
                <w:sz w:val="20"/>
                <w:szCs w:val="20"/>
              </w:rPr>
              <w:t xml:space="preserve">) </w:t>
            </w:r>
            <w:proofErr w:type="spellStart"/>
            <w:r w:rsidRPr="002F45D2">
              <w:rPr>
                <w:rFonts w:ascii="Calibri" w:hAnsi="Calibri"/>
                <w:b w:val="0"/>
                <w:color w:val="000000"/>
                <w:sz w:val="20"/>
                <w:szCs w:val="20"/>
              </w:rPr>
              <w:t>perylene</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9.56</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9.56</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 xml:space="preserve">Benzo(a) </w:t>
            </w:r>
            <w:proofErr w:type="spellStart"/>
            <w:r w:rsidRPr="002F45D2">
              <w:rPr>
                <w:rFonts w:ascii="Calibri" w:hAnsi="Calibri"/>
                <w:b w:val="0"/>
                <w:color w:val="000000"/>
                <w:sz w:val="20"/>
                <w:szCs w:val="20"/>
              </w:rPr>
              <w:t>pyrene</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1.03</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1.03</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 xml:space="preserve">Brominated </w:t>
            </w:r>
            <w:proofErr w:type="spellStart"/>
            <w:r w:rsidRPr="002F45D2">
              <w:rPr>
                <w:rFonts w:ascii="Calibri" w:hAnsi="Calibri"/>
                <w:b w:val="0"/>
                <w:color w:val="000000"/>
                <w:sz w:val="20"/>
                <w:szCs w:val="20"/>
              </w:rPr>
              <w:t>diphenylethers</w:t>
            </w:r>
            <w:proofErr w:type="spellEnd"/>
            <w:r w:rsidRPr="002F45D2">
              <w:rPr>
                <w:rFonts w:ascii="Calibri" w:hAnsi="Calibri"/>
                <w:b w:val="0"/>
                <w:color w:val="000000"/>
                <w:sz w:val="20"/>
                <w:szCs w:val="20"/>
              </w:rPr>
              <w:t xml:space="preserve"> - total as Br</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0.51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0.51</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Cadmium</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136.07</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2.2</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7.99</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114.28</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11.6</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Chlorides - total as Cl</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2,000,000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48,350,000</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3,540,000</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44,810,000</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Chloroform</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134.2</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103.0</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31.2</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Chromium</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589.6</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44.5</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122</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358.1</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65</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Copper</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66,001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157</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770</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10,607</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52,278</w:t>
            </w: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2,189</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Cyanides - total as CN</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873</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148</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725</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Deltamethrin</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0.002</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3.82</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rPr>
                <w:sz w:val="20"/>
                <w:szCs w:val="20"/>
              </w:rPr>
            </w:pPr>
          </w:p>
        </w:tc>
        <w:tc>
          <w:tcPr>
            <w:tcW w:w="79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3.82</w:t>
            </w: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Di(2-ethylhexyl) phthalate</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1,702</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1,702</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Dioxins and furans - as ITEQ</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0.000706</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0.000706</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Dioxins and furans - as WHO TEQ</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0.000706</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0.000706</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Diuron</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0.05</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5.92</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5.92</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Emamectin</w:t>
            </w:r>
            <w:proofErr w:type="spellEnd"/>
            <w:r w:rsidRPr="002F45D2">
              <w:rPr>
                <w:rFonts w:ascii="Calibri" w:hAnsi="Calibri"/>
                <w:b w:val="0"/>
                <w:color w:val="000000"/>
                <w:sz w:val="20"/>
                <w:szCs w:val="20"/>
              </w:rPr>
              <w:t xml:space="preserve"> benzoate</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45.52</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rPr>
                <w:sz w:val="20"/>
                <w:szCs w:val="20"/>
              </w:rPr>
            </w:pPr>
          </w:p>
        </w:tc>
        <w:tc>
          <w:tcPr>
            <w:tcW w:w="79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45.52</w:t>
            </w: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Ethylbenzene</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103.5</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103.5</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rPr>
                <w:sz w:val="20"/>
                <w:szCs w:val="20"/>
              </w:rPr>
            </w:pPr>
          </w:p>
        </w:tc>
        <w:tc>
          <w:tcPr>
            <w:tcW w:w="79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Fluoranthene</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7.53</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1.81</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0.28</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5.44</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Fluorides - total as F</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2,000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174,355</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2,145</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172,210</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Halogenated organic compounds - total as AOX</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1,000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80,350</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80,350</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Hexachlorocyclohexane</w:t>
            </w:r>
            <w:proofErr w:type="spellEnd"/>
            <w:r w:rsidRPr="002F45D2">
              <w:rPr>
                <w:rFonts w:ascii="Calibri" w:hAnsi="Calibri"/>
                <w:b w:val="0"/>
                <w:color w:val="000000"/>
                <w:sz w:val="20"/>
                <w:szCs w:val="20"/>
              </w:rPr>
              <w:t xml:space="preserve"> - all isomers</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0.51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0.51</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Iron</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1,000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435,850</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435,850</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Isoproturon</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0.24</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0.24</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Lead</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912</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29.8</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76</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807</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Lindane</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0.44</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0.44</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Manganese</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766</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rPr>
                <w:sz w:val="20"/>
                <w:szCs w:val="20"/>
              </w:rPr>
            </w:pPr>
          </w:p>
        </w:tc>
        <w:tc>
          <w:tcPr>
            <w:tcW w:w="79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766</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Mercury</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22.51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1.8</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0.44</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20.01</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0.26</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Methylene chloride</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265.9</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238.0</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27.9</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Naphthalene</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997.31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17.3</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980</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Nickel</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6,363</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103</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258</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4,509</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1,493</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Nitrogen - total as N</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50,000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34,154,934</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127,000</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18,880,700</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10,964,163</w:t>
            </w: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4,183,071</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Nonylphenol</w:t>
            </w:r>
            <w:proofErr w:type="spellEnd"/>
            <w:r w:rsidRPr="002F45D2">
              <w:rPr>
                <w:rFonts w:ascii="Calibri" w:hAnsi="Calibri"/>
                <w:b w:val="0"/>
                <w:color w:val="000000"/>
                <w:sz w:val="20"/>
                <w:szCs w:val="20"/>
              </w:rPr>
              <w:t xml:space="preserve"> </w:t>
            </w:r>
            <w:proofErr w:type="spellStart"/>
            <w:r w:rsidRPr="002F45D2">
              <w:rPr>
                <w:rFonts w:ascii="Calibri" w:hAnsi="Calibri"/>
                <w:b w:val="0"/>
                <w:color w:val="000000"/>
                <w:sz w:val="20"/>
                <w:szCs w:val="20"/>
              </w:rPr>
              <w:t>ethoxylates</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3,489.28</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3,489.28</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lastRenderedPageBreak/>
              <w:t>Nonylphenols</w:t>
            </w:r>
            <w:proofErr w:type="spellEnd"/>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557.4</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557.4</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F45D2" w:rsidP="00274C70">
            <w:pPr>
              <w:rPr>
                <w:rFonts w:ascii="Calibri" w:hAnsi="Calibri"/>
                <w:b w:val="0"/>
                <w:color w:val="000000"/>
                <w:sz w:val="20"/>
                <w:szCs w:val="20"/>
              </w:rPr>
            </w:pPr>
            <w:proofErr w:type="spellStart"/>
            <w:r w:rsidRPr="002F45D2">
              <w:rPr>
                <w:rFonts w:ascii="Calibri" w:hAnsi="Calibri"/>
                <w:b w:val="0"/>
                <w:color w:val="000000"/>
                <w:sz w:val="20"/>
                <w:szCs w:val="20"/>
              </w:rPr>
              <w:t>Nonylphenol</w:t>
            </w:r>
            <w:proofErr w:type="spellEnd"/>
            <w:r w:rsidR="00274C70" w:rsidRPr="002F45D2">
              <w:rPr>
                <w:rFonts w:ascii="Calibri" w:hAnsi="Calibri"/>
                <w:b w:val="0"/>
                <w:color w:val="000000"/>
                <w:sz w:val="20"/>
                <w:szCs w:val="20"/>
              </w:rPr>
              <w:t xml:space="preserve"> and </w:t>
            </w:r>
            <w:proofErr w:type="spellStart"/>
            <w:r w:rsidR="00274C70" w:rsidRPr="002F45D2">
              <w:rPr>
                <w:rFonts w:ascii="Calibri" w:hAnsi="Calibri"/>
                <w:b w:val="0"/>
                <w:color w:val="000000"/>
                <w:sz w:val="20"/>
                <w:szCs w:val="20"/>
              </w:rPr>
              <w:t>nonylphenol</w:t>
            </w:r>
            <w:proofErr w:type="spellEnd"/>
            <w:r w:rsidR="00274C70" w:rsidRPr="002F45D2">
              <w:rPr>
                <w:rFonts w:ascii="Calibri" w:hAnsi="Calibri"/>
                <w:b w:val="0"/>
                <w:color w:val="000000"/>
                <w:sz w:val="20"/>
                <w:szCs w:val="20"/>
              </w:rPr>
              <w:t xml:space="preserve"> </w:t>
            </w:r>
            <w:proofErr w:type="spellStart"/>
            <w:r w:rsidR="00274C70" w:rsidRPr="002F45D2">
              <w:rPr>
                <w:rFonts w:ascii="Calibri" w:hAnsi="Calibri"/>
                <w:b w:val="0"/>
                <w:color w:val="000000"/>
                <w:sz w:val="20"/>
                <w:szCs w:val="20"/>
              </w:rPr>
              <w:t>ethoxylates</w:t>
            </w:r>
            <w:proofErr w:type="spellEnd"/>
            <w:r w:rsidR="00274C70" w:rsidRPr="002F45D2">
              <w:rPr>
                <w:rFonts w:ascii="Calibri" w:hAnsi="Calibri"/>
                <w:b w:val="0"/>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2,348.66</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2,348.66</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Octylphenol</w:t>
            </w:r>
            <w:proofErr w:type="spellEnd"/>
            <w:r w:rsidRPr="002F45D2">
              <w:rPr>
                <w:rFonts w:ascii="Calibri" w:hAnsi="Calibri"/>
                <w:b w:val="0"/>
                <w:color w:val="000000"/>
                <w:sz w:val="20"/>
                <w:szCs w:val="20"/>
              </w:rPr>
              <w:t xml:space="preserve"> and </w:t>
            </w:r>
            <w:proofErr w:type="spellStart"/>
            <w:r w:rsidRPr="002F45D2">
              <w:rPr>
                <w:rFonts w:ascii="Calibri" w:hAnsi="Calibri"/>
                <w:b w:val="0"/>
                <w:color w:val="000000"/>
                <w:sz w:val="20"/>
                <w:szCs w:val="20"/>
              </w:rPr>
              <w:t>octylphenol</w:t>
            </w:r>
            <w:proofErr w:type="spellEnd"/>
            <w:r w:rsidRPr="002F45D2">
              <w:rPr>
                <w:rFonts w:ascii="Calibri" w:hAnsi="Calibri"/>
                <w:b w:val="0"/>
                <w:color w:val="000000"/>
                <w:sz w:val="20"/>
                <w:szCs w:val="20"/>
              </w:rPr>
              <w:t xml:space="preserve"> </w:t>
            </w:r>
            <w:proofErr w:type="spellStart"/>
            <w:r w:rsidRPr="002F45D2">
              <w:rPr>
                <w:rFonts w:ascii="Calibri" w:hAnsi="Calibri"/>
                <w:b w:val="0"/>
                <w:color w:val="000000"/>
                <w:sz w:val="20"/>
                <w:szCs w:val="20"/>
              </w:rPr>
              <w:t>ethoxylates</w:t>
            </w:r>
            <w:proofErr w:type="spellEnd"/>
            <w:r w:rsidRPr="002F45D2">
              <w:rPr>
                <w:rFonts w:ascii="Calibri" w:hAnsi="Calibri"/>
                <w:b w:val="0"/>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4.78</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4.78</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proofErr w:type="spellStart"/>
            <w:r w:rsidRPr="002F45D2">
              <w:rPr>
                <w:rFonts w:ascii="Calibri" w:hAnsi="Calibri"/>
                <w:b w:val="0"/>
                <w:color w:val="000000"/>
                <w:sz w:val="20"/>
                <w:szCs w:val="20"/>
              </w:rPr>
              <w:t>Octylphenols</w:t>
            </w:r>
            <w:proofErr w:type="spellEnd"/>
            <w:r w:rsidRPr="002F45D2">
              <w:rPr>
                <w:rFonts w:ascii="Calibri" w:hAnsi="Calibri"/>
                <w:b w:val="0"/>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4.78</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4.78</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Organic tin compounds - total as Sn</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11.3</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11.3</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Pentachlorophenol</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0.05</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1.91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1.91</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Permethrin</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0.55</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0.55</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Phenols - total as C</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4,572</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1,822</w:t>
            </w: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2,301</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449</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Phosphorus - total as P</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5,000</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4,267,338</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41,232</w:t>
            </w: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2,122,010</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1,651,763</w:t>
            </w:r>
          </w:p>
        </w:tc>
        <w:tc>
          <w:tcPr>
            <w:tcW w:w="1075"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452,333</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hideMark/>
          </w:tcPr>
          <w:p w:rsidR="00274C70" w:rsidRPr="002F45D2" w:rsidRDefault="00274C70" w:rsidP="002F45D2">
            <w:pPr>
              <w:rPr>
                <w:rFonts w:ascii="Calibri" w:hAnsi="Calibri"/>
                <w:b w:val="0"/>
                <w:color w:val="000000"/>
                <w:sz w:val="20"/>
                <w:szCs w:val="20"/>
              </w:rPr>
            </w:pPr>
            <w:r w:rsidRPr="002F45D2">
              <w:rPr>
                <w:rFonts w:ascii="Calibri" w:hAnsi="Calibri"/>
                <w:b w:val="0"/>
                <w:color w:val="000000"/>
                <w:sz w:val="20"/>
                <w:szCs w:val="20"/>
              </w:rPr>
              <w:t>Polycyclic aromatic hydrocarbons (PAHs)</w:t>
            </w:r>
          </w:p>
        </w:tc>
        <w:tc>
          <w:tcPr>
            <w:cnfStyle w:val="000010000000" w:firstRow="0" w:lastRow="0" w:firstColumn="0" w:lastColumn="0" w:oddVBand="1" w:evenVBand="0" w:oddHBand="0" w:evenHBand="0" w:firstRowFirstColumn="0" w:firstRowLastColumn="0" w:lastRowFirstColumn="0" w:lastRowLastColumn="0"/>
            <w:tcW w:w="992"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65.01</w:t>
            </w:r>
          </w:p>
        </w:tc>
        <w:tc>
          <w:tcPr>
            <w:cnfStyle w:val="000010000000" w:firstRow="0" w:lastRow="0" w:firstColumn="0" w:lastColumn="0" w:oddVBand="1" w:evenVBand="0" w:oddHBand="0" w:evenHBand="0" w:firstRowFirstColumn="0" w:firstRowLastColumn="0" w:lastRowFirstColumn="0" w:lastRowLastColumn="0"/>
            <w:tcW w:w="964" w:type="dxa"/>
            <w:noWrap/>
            <w:hideMark/>
          </w:tcPr>
          <w:p w:rsidR="00274C70" w:rsidRPr="002F45D2" w:rsidRDefault="00274C70" w:rsidP="00274C70">
            <w:pPr>
              <w:jc w:val="right"/>
              <w:rPr>
                <w:rFonts w:ascii="Calibri" w:hAnsi="Calibri"/>
                <w:color w:val="000000"/>
                <w:sz w:val="20"/>
                <w:szCs w:val="20"/>
              </w:rPr>
            </w:pPr>
          </w:p>
        </w:tc>
        <w:tc>
          <w:tcPr>
            <w:tcW w:w="964"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hideMark/>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65.01</w:t>
            </w:r>
          </w:p>
        </w:tc>
        <w:tc>
          <w:tcPr>
            <w:tcW w:w="794" w:type="dxa"/>
            <w:noWrap/>
            <w:hideMark/>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hideMark/>
          </w:tcPr>
          <w:p w:rsidR="00274C70" w:rsidRPr="002F45D2" w:rsidRDefault="00274C70" w:rsidP="00274C70">
            <w:pPr>
              <w:rPr>
                <w:sz w:val="20"/>
                <w:szCs w:val="20"/>
              </w:rPr>
            </w:pPr>
          </w:p>
        </w:tc>
        <w:tc>
          <w:tcPr>
            <w:tcW w:w="1075" w:type="dxa"/>
            <w:noWrap/>
            <w:hideMark/>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Tetrachloroethylene</w:t>
            </w:r>
          </w:p>
        </w:tc>
        <w:tc>
          <w:tcPr>
            <w:cnfStyle w:val="000010000000" w:firstRow="0" w:lastRow="0" w:firstColumn="0" w:lastColumn="0" w:oddVBand="1" w:evenVBand="0" w:oddHBand="0" w:evenHBand="0" w:firstRowFirstColumn="0" w:firstRowLastColumn="0" w:lastRowFirstColumn="0" w:lastRowLastColumn="0"/>
            <w:tcW w:w="992"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3.76</w:t>
            </w:r>
          </w:p>
        </w:tc>
        <w:tc>
          <w:tcPr>
            <w:cnfStyle w:val="000010000000" w:firstRow="0" w:lastRow="0" w:firstColumn="0" w:lastColumn="0" w:oddVBand="1" w:evenVBand="0" w:oddHBand="0" w:evenHBand="0" w:firstRowFirstColumn="0" w:firstRowLastColumn="0" w:lastRowFirstColumn="0" w:lastRowLastColumn="0"/>
            <w:tcW w:w="964" w:type="dxa"/>
            <w:noWrap/>
          </w:tcPr>
          <w:p w:rsidR="00274C70" w:rsidRPr="002F45D2" w:rsidRDefault="00274C70" w:rsidP="00274C70">
            <w:pPr>
              <w:jc w:val="right"/>
              <w:rPr>
                <w:rFonts w:ascii="Calibri" w:hAnsi="Calibri"/>
                <w:color w:val="000000"/>
                <w:sz w:val="20"/>
                <w:szCs w:val="20"/>
              </w:rPr>
            </w:pPr>
          </w:p>
        </w:tc>
        <w:tc>
          <w:tcPr>
            <w:tcW w:w="96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3.76</w:t>
            </w:r>
          </w:p>
        </w:tc>
        <w:tc>
          <w:tcPr>
            <w:cnfStyle w:val="000010000000" w:firstRow="0" w:lastRow="0" w:firstColumn="0" w:lastColumn="0" w:oddVBand="1" w:evenVBand="0" w:oddHBand="0" w:evenHBand="0" w:firstRowFirstColumn="0" w:firstRowLastColumn="0" w:lastRowFirstColumn="0" w:lastRowLastColumn="0"/>
            <w:tcW w:w="1077" w:type="dxa"/>
            <w:noWrap/>
          </w:tcPr>
          <w:p w:rsidR="00274C70" w:rsidRPr="002F45D2" w:rsidRDefault="00274C70" w:rsidP="00274C70">
            <w:pPr>
              <w:jc w:val="right"/>
              <w:rPr>
                <w:rFonts w:ascii="Calibri" w:hAnsi="Calibri"/>
                <w:color w:val="000000"/>
                <w:sz w:val="20"/>
                <w:szCs w:val="20"/>
              </w:rPr>
            </w:pPr>
          </w:p>
        </w:tc>
        <w:tc>
          <w:tcPr>
            <w:tcW w:w="794"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tcPr>
          <w:p w:rsidR="00274C70" w:rsidRPr="002F45D2" w:rsidRDefault="00274C70" w:rsidP="00274C70">
            <w:pPr>
              <w:rPr>
                <w:sz w:val="20"/>
                <w:szCs w:val="20"/>
              </w:rPr>
            </w:pPr>
          </w:p>
        </w:tc>
        <w:tc>
          <w:tcPr>
            <w:tcW w:w="1075"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Toluene</w:t>
            </w:r>
          </w:p>
        </w:tc>
        <w:tc>
          <w:tcPr>
            <w:cnfStyle w:val="000010000000" w:firstRow="0" w:lastRow="0" w:firstColumn="0" w:lastColumn="0" w:oddVBand="1" w:evenVBand="0" w:oddHBand="0" w:evenHBand="0" w:firstRowFirstColumn="0" w:firstRowLastColumn="0" w:lastRowFirstColumn="0" w:lastRowLastColumn="0"/>
            <w:tcW w:w="992"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w:t>
            </w:r>
          </w:p>
        </w:tc>
        <w:tc>
          <w:tcPr>
            <w:tcW w:w="1077"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1,179.4</w:t>
            </w:r>
          </w:p>
        </w:tc>
        <w:tc>
          <w:tcPr>
            <w:cnfStyle w:val="000010000000" w:firstRow="0" w:lastRow="0" w:firstColumn="0" w:lastColumn="0" w:oddVBand="1" w:evenVBand="0" w:oddHBand="0" w:evenHBand="0" w:firstRowFirstColumn="0" w:firstRowLastColumn="0" w:lastRowFirstColumn="0" w:lastRowLastColumn="0"/>
            <w:tcW w:w="964"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784.3</w:t>
            </w:r>
          </w:p>
        </w:tc>
        <w:tc>
          <w:tcPr>
            <w:tcW w:w="96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395.1</w:t>
            </w:r>
          </w:p>
        </w:tc>
        <w:tc>
          <w:tcPr>
            <w:cnfStyle w:val="000010000000" w:firstRow="0" w:lastRow="0" w:firstColumn="0" w:lastColumn="0" w:oddVBand="1" w:evenVBand="0" w:oddHBand="0" w:evenHBand="0" w:firstRowFirstColumn="0" w:firstRowLastColumn="0" w:lastRowFirstColumn="0" w:lastRowLastColumn="0"/>
            <w:tcW w:w="1077" w:type="dxa"/>
            <w:noWrap/>
          </w:tcPr>
          <w:p w:rsidR="00274C70" w:rsidRPr="002F45D2" w:rsidRDefault="00274C70" w:rsidP="00274C70">
            <w:pPr>
              <w:jc w:val="right"/>
              <w:rPr>
                <w:rFonts w:ascii="Calibri" w:hAnsi="Calibri"/>
                <w:color w:val="000000"/>
                <w:sz w:val="20"/>
                <w:szCs w:val="20"/>
              </w:rPr>
            </w:pPr>
          </w:p>
        </w:tc>
        <w:tc>
          <w:tcPr>
            <w:tcW w:w="794"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tcPr>
          <w:p w:rsidR="00274C70" w:rsidRPr="002F45D2" w:rsidRDefault="00274C70" w:rsidP="00274C70">
            <w:pPr>
              <w:rPr>
                <w:sz w:val="20"/>
                <w:szCs w:val="20"/>
              </w:rPr>
            </w:pPr>
          </w:p>
        </w:tc>
        <w:tc>
          <w:tcPr>
            <w:tcW w:w="1075"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Total organic carbon or COD/3</w:t>
            </w:r>
          </w:p>
        </w:tc>
        <w:tc>
          <w:tcPr>
            <w:cnfStyle w:val="000010000000" w:firstRow="0" w:lastRow="0" w:firstColumn="0" w:lastColumn="0" w:oddVBand="1" w:evenVBand="0" w:oddHBand="0" w:evenHBand="0" w:firstRowFirstColumn="0" w:firstRowLastColumn="0" w:lastRowFirstColumn="0" w:lastRowLastColumn="0"/>
            <w:tcW w:w="992"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50,000</w:t>
            </w:r>
          </w:p>
        </w:tc>
        <w:tc>
          <w:tcPr>
            <w:tcW w:w="1077"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65,832,210</w:t>
            </w:r>
          </w:p>
        </w:tc>
        <w:tc>
          <w:tcPr>
            <w:cnfStyle w:val="000010000000" w:firstRow="0" w:lastRow="0" w:firstColumn="0" w:lastColumn="0" w:oddVBand="1" w:evenVBand="0" w:oddHBand="0" w:evenHBand="0" w:firstRowFirstColumn="0" w:firstRowLastColumn="0" w:lastRowFirstColumn="0" w:lastRowLastColumn="0"/>
            <w:tcW w:w="964" w:type="dxa"/>
            <w:noWrap/>
          </w:tcPr>
          <w:p w:rsidR="00274C70" w:rsidRPr="002F45D2" w:rsidRDefault="00274C70" w:rsidP="00274C70">
            <w:pPr>
              <w:jc w:val="right"/>
              <w:rPr>
                <w:rFonts w:ascii="Calibri" w:hAnsi="Calibri"/>
                <w:color w:val="000000"/>
                <w:sz w:val="20"/>
                <w:szCs w:val="20"/>
              </w:rPr>
            </w:pPr>
          </w:p>
        </w:tc>
        <w:tc>
          <w:tcPr>
            <w:tcW w:w="96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1,593,000</w:t>
            </w:r>
          </w:p>
        </w:tc>
        <w:tc>
          <w:tcPr>
            <w:cnfStyle w:val="000010000000" w:firstRow="0" w:lastRow="0" w:firstColumn="0" w:lastColumn="0" w:oddVBand="1" w:evenVBand="0" w:oddHBand="0" w:evenHBand="0" w:firstRowFirstColumn="0" w:firstRowLastColumn="0" w:lastRowFirstColumn="0" w:lastRowLastColumn="0"/>
            <w:tcW w:w="1077"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11,218,400</w:t>
            </w:r>
          </w:p>
        </w:tc>
        <w:tc>
          <w:tcPr>
            <w:tcW w:w="79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375,577</w:t>
            </w:r>
          </w:p>
        </w:tc>
        <w:tc>
          <w:tcPr>
            <w:cnfStyle w:val="000010000000" w:firstRow="0" w:lastRow="0" w:firstColumn="0" w:lastColumn="0" w:oddVBand="1" w:evenVBand="0" w:oddHBand="0" w:evenHBand="0" w:firstRowFirstColumn="0" w:firstRowLastColumn="0" w:lastRowFirstColumn="0" w:lastRowLastColumn="0"/>
            <w:tcW w:w="1134"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41,516,473</w:t>
            </w:r>
          </w:p>
        </w:tc>
        <w:tc>
          <w:tcPr>
            <w:tcW w:w="1075"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11,128,760</w:t>
            </w: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Tributyltin compounds</w:t>
            </w:r>
          </w:p>
        </w:tc>
        <w:tc>
          <w:tcPr>
            <w:cnfStyle w:val="000010000000" w:firstRow="0" w:lastRow="0" w:firstColumn="0" w:lastColumn="0" w:oddVBand="1" w:evenVBand="0" w:oddHBand="0" w:evenHBand="0" w:firstRowFirstColumn="0" w:firstRowLastColumn="0" w:lastRowFirstColumn="0" w:lastRowLastColumn="0"/>
            <w:tcW w:w="992"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0.005</w:t>
            </w:r>
          </w:p>
        </w:tc>
        <w:tc>
          <w:tcPr>
            <w:tcW w:w="1077"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0.52</w:t>
            </w:r>
          </w:p>
        </w:tc>
        <w:tc>
          <w:tcPr>
            <w:cnfStyle w:val="000010000000" w:firstRow="0" w:lastRow="0" w:firstColumn="0" w:lastColumn="0" w:oddVBand="1" w:evenVBand="0" w:oddHBand="0" w:evenHBand="0" w:firstRowFirstColumn="0" w:firstRowLastColumn="0" w:lastRowFirstColumn="0" w:lastRowLastColumn="0"/>
            <w:tcW w:w="964" w:type="dxa"/>
            <w:noWrap/>
          </w:tcPr>
          <w:p w:rsidR="00274C70" w:rsidRPr="002F45D2" w:rsidRDefault="00274C70" w:rsidP="00274C70">
            <w:pPr>
              <w:jc w:val="right"/>
              <w:rPr>
                <w:rFonts w:ascii="Calibri" w:hAnsi="Calibri"/>
                <w:color w:val="000000"/>
                <w:sz w:val="20"/>
                <w:szCs w:val="20"/>
              </w:rPr>
            </w:pPr>
          </w:p>
        </w:tc>
        <w:tc>
          <w:tcPr>
            <w:tcW w:w="964"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77"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0.52</w:t>
            </w:r>
          </w:p>
        </w:tc>
        <w:tc>
          <w:tcPr>
            <w:tcW w:w="79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tcPr>
          <w:p w:rsidR="00274C70" w:rsidRPr="002F45D2" w:rsidRDefault="00274C70" w:rsidP="00274C70">
            <w:pPr>
              <w:rPr>
                <w:sz w:val="20"/>
                <w:szCs w:val="20"/>
              </w:rPr>
            </w:pPr>
          </w:p>
        </w:tc>
        <w:tc>
          <w:tcPr>
            <w:tcW w:w="1075"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Trichloroethylene</w:t>
            </w:r>
          </w:p>
        </w:tc>
        <w:tc>
          <w:tcPr>
            <w:cnfStyle w:val="000010000000" w:firstRow="0" w:lastRow="0" w:firstColumn="0" w:lastColumn="0" w:oddVBand="1" w:evenVBand="0" w:oddHBand="0" w:evenHBand="0" w:firstRowFirstColumn="0" w:firstRowLastColumn="0" w:lastRowFirstColumn="0" w:lastRowLastColumn="0"/>
            <w:tcW w:w="992"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w:t>
            </w:r>
          </w:p>
        </w:tc>
        <w:tc>
          <w:tcPr>
            <w:tcW w:w="1077"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1.15</w:t>
            </w:r>
          </w:p>
        </w:tc>
        <w:tc>
          <w:tcPr>
            <w:cnfStyle w:val="000010000000" w:firstRow="0" w:lastRow="0" w:firstColumn="0" w:lastColumn="0" w:oddVBand="1" w:evenVBand="0" w:oddHBand="0" w:evenHBand="0" w:firstRowFirstColumn="0" w:firstRowLastColumn="0" w:lastRowFirstColumn="0" w:lastRowLastColumn="0"/>
            <w:tcW w:w="964" w:type="dxa"/>
            <w:noWrap/>
          </w:tcPr>
          <w:p w:rsidR="00274C70" w:rsidRPr="002F45D2" w:rsidRDefault="00274C70" w:rsidP="00274C70">
            <w:pPr>
              <w:jc w:val="right"/>
              <w:rPr>
                <w:rFonts w:ascii="Calibri" w:hAnsi="Calibri"/>
                <w:color w:val="000000"/>
                <w:sz w:val="20"/>
                <w:szCs w:val="20"/>
              </w:rPr>
            </w:pPr>
          </w:p>
        </w:tc>
        <w:tc>
          <w:tcPr>
            <w:tcW w:w="96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1.15</w:t>
            </w:r>
          </w:p>
        </w:tc>
        <w:tc>
          <w:tcPr>
            <w:cnfStyle w:val="000010000000" w:firstRow="0" w:lastRow="0" w:firstColumn="0" w:lastColumn="0" w:oddVBand="1" w:evenVBand="0" w:oddHBand="0" w:evenHBand="0" w:firstRowFirstColumn="0" w:firstRowLastColumn="0" w:lastRowFirstColumn="0" w:lastRowLastColumn="0"/>
            <w:tcW w:w="1077" w:type="dxa"/>
            <w:noWrap/>
          </w:tcPr>
          <w:p w:rsidR="00274C70" w:rsidRPr="002F45D2" w:rsidRDefault="00274C70" w:rsidP="00274C70">
            <w:pPr>
              <w:jc w:val="right"/>
              <w:rPr>
                <w:rFonts w:ascii="Calibri" w:hAnsi="Calibri"/>
                <w:color w:val="000000"/>
                <w:sz w:val="20"/>
                <w:szCs w:val="20"/>
              </w:rPr>
            </w:pPr>
          </w:p>
        </w:tc>
        <w:tc>
          <w:tcPr>
            <w:tcW w:w="794"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tcPr>
          <w:p w:rsidR="00274C70" w:rsidRPr="002F45D2" w:rsidRDefault="00274C70" w:rsidP="00274C70">
            <w:pPr>
              <w:rPr>
                <w:sz w:val="20"/>
                <w:szCs w:val="20"/>
              </w:rPr>
            </w:pPr>
          </w:p>
        </w:tc>
        <w:tc>
          <w:tcPr>
            <w:tcW w:w="1075"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Xylene - all isomers</w:t>
            </w:r>
          </w:p>
        </w:tc>
        <w:tc>
          <w:tcPr>
            <w:cnfStyle w:val="000010000000" w:firstRow="0" w:lastRow="0" w:firstColumn="0" w:lastColumn="0" w:oddVBand="1" w:evenVBand="0" w:oddHBand="0" w:evenHBand="0" w:firstRowFirstColumn="0" w:firstRowLastColumn="0" w:lastRowFirstColumn="0" w:lastRowLastColumn="0"/>
            <w:tcW w:w="992"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w:t>
            </w:r>
          </w:p>
        </w:tc>
        <w:tc>
          <w:tcPr>
            <w:tcW w:w="1077"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520.8</w:t>
            </w:r>
          </w:p>
        </w:tc>
        <w:tc>
          <w:tcPr>
            <w:cnfStyle w:val="000010000000" w:firstRow="0" w:lastRow="0" w:firstColumn="0" w:lastColumn="0" w:oddVBand="1" w:evenVBand="0" w:oddHBand="0" w:evenHBand="0" w:firstRowFirstColumn="0" w:firstRowLastColumn="0" w:lastRowFirstColumn="0" w:lastRowLastColumn="0"/>
            <w:tcW w:w="964"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436.0</w:t>
            </w:r>
          </w:p>
        </w:tc>
        <w:tc>
          <w:tcPr>
            <w:tcW w:w="96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84.8</w:t>
            </w:r>
          </w:p>
        </w:tc>
        <w:tc>
          <w:tcPr>
            <w:cnfStyle w:val="000010000000" w:firstRow="0" w:lastRow="0" w:firstColumn="0" w:lastColumn="0" w:oddVBand="1" w:evenVBand="0" w:oddHBand="0" w:evenHBand="0" w:firstRowFirstColumn="0" w:firstRowLastColumn="0" w:lastRowFirstColumn="0" w:lastRowLastColumn="0"/>
            <w:tcW w:w="1077" w:type="dxa"/>
            <w:noWrap/>
          </w:tcPr>
          <w:p w:rsidR="00274C70" w:rsidRPr="002F45D2" w:rsidRDefault="00274C70" w:rsidP="00274C70">
            <w:pPr>
              <w:jc w:val="right"/>
              <w:rPr>
                <w:rFonts w:ascii="Calibri" w:hAnsi="Calibri"/>
                <w:color w:val="000000"/>
                <w:sz w:val="20"/>
                <w:szCs w:val="20"/>
              </w:rPr>
            </w:pPr>
          </w:p>
        </w:tc>
        <w:tc>
          <w:tcPr>
            <w:tcW w:w="794"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tcPr>
          <w:p w:rsidR="00274C70" w:rsidRPr="002F45D2" w:rsidRDefault="00274C70" w:rsidP="00274C70">
            <w:pPr>
              <w:rPr>
                <w:sz w:val="20"/>
                <w:szCs w:val="20"/>
              </w:rPr>
            </w:pPr>
          </w:p>
        </w:tc>
        <w:tc>
          <w:tcPr>
            <w:tcW w:w="1075" w:type="dxa"/>
            <w:noWrap/>
          </w:tcPr>
          <w:p w:rsidR="00274C70" w:rsidRPr="002F45D2" w:rsidRDefault="00274C70" w:rsidP="00274C70">
            <w:pPr>
              <w:cnfStyle w:val="000000000000" w:firstRow="0" w:lastRow="0" w:firstColumn="0" w:lastColumn="0" w:oddVBand="0" w:evenVBand="0" w:oddHBand="0" w:evenHBand="0" w:firstRowFirstColumn="0" w:firstRowLastColumn="0" w:lastRowFirstColumn="0" w:lastRowLastColumn="0"/>
              <w:rPr>
                <w:sz w:val="20"/>
                <w:szCs w:val="20"/>
              </w:rPr>
            </w:pPr>
          </w:p>
        </w:tc>
      </w:tr>
      <w:tr w:rsidR="00274C70" w:rsidRPr="002518B6" w:rsidTr="002F45D2">
        <w:trPr>
          <w:trHeight w:val="306"/>
        </w:trPr>
        <w:tc>
          <w:tcPr>
            <w:cnfStyle w:val="001000000000" w:firstRow="0" w:lastRow="0" w:firstColumn="1" w:lastColumn="0" w:oddVBand="0" w:evenVBand="0" w:oddHBand="0" w:evenHBand="0" w:firstRowFirstColumn="0" w:firstRowLastColumn="0" w:lastRowFirstColumn="0" w:lastRowLastColumn="0"/>
            <w:tcW w:w="2405" w:type="dxa"/>
            <w:noWrap/>
          </w:tcPr>
          <w:p w:rsidR="00274C70" w:rsidRPr="002F45D2" w:rsidRDefault="00274C70" w:rsidP="00274C70">
            <w:pPr>
              <w:rPr>
                <w:rFonts w:ascii="Calibri" w:hAnsi="Calibri"/>
                <w:b w:val="0"/>
                <w:color w:val="000000"/>
                <w:sz w:val="20"/>
                <w:szCs w:val="20"/>
              </w:rPr>
            </w:pPr>
            <w:r w:rsidRPr="002F45D2">
              <w:rPr>
                <w:rFonts w:ascii="Calibri" w:hAnsi="Calibri"/>
                <w:b w:val="0"/>
                <w:color w:val="000000"/>
                <w:sz w:val="20"/>
                <w:szCs w:val="20"/>
              </w:rPr>
              <w:t>Zinc</w:t>
            </w:r>
          </w:p>
        </w:tc>
        <w:tc>
          <w:tcPr>
            <w:cnfStyle w:val="000010000000" w:firstRow="0" w:lastRow="0" w:firstColumn="0" w:lastColumn="0" w:oddVBand="1" w:evenVBand="0" w:oddHBand="0" w:evenHBand="0" w:firstRowFirstColumn="0" w:firstRowLastColumn="0" w:lastRowFirstColumn="0" w:lastRowLastColumn="0"/>
            <w:tcW w:w="992"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100</w:t>
            </w:r>
          </w:p>
        </w:tc>
        <w:tc>
          <w:tcPr>
            <w:tcW w:w="1077"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2F45D2">
              <w:rPr>
                <w:rFonts w:ascii="Calibri" w:hAnsi="Calibri"/>
                <w:b/>
                <w:color w:val="000000"/>
                <w:sz w:val="20"/>
                <w:szCs w:val="20"/>
              </w:rPr>
              <w:t>76,038</w:t>
            </w:r>
          </w:p>
        </w:tc>
        <w:tc>
          <w:tcPr>
            <w:cnfStyle w:val="000010000000" w:firstRow="0" w:lastRow="0" w:firstColumn="0" w:lastColumn="0" w:oddVBand="1" w:evenVBand="0" w:oddHBand="0" w:evenHBand="0" w:firstRowFirstColumn="0" w:firstRowLastColumn="0" w:lastRowFirstColumn="0" w:lastRowLastColumn="0"/>
            <w:tcW w:w="964"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529</w:t>
            </w:r>
          </w:p>
        </w:tc>
        <w:tc>
          <w:tcPr>
            <w:tcW w:w="96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1,475</w:t>
            </w:r>
          </w:p>
        </w:tc>
        <w:tc>
          <w:tcPr>
            <w:cnfStyle w:val="000010000000" w:firstRow="0" w:lastRow="0" w:firstColumn="0" w:lastColumn="0" w:oddVBand="1" w:evenVBand="0" w:oddHBand="0" w:evenHBand="0" w:firstRowFirstColumn="0" w:firstRowLastColumn="0" w:lastRowFirstColumn="0" w:lastRowLastColumn="0"/>
            <w:tcW w:w="1077"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35,527</w:t>
            </w:r>
          </w:p>
        </w:tc>
        <w:tc>
          <w:tcPr>
            <w:tcW w:w="794"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134" w:type="dxa"/>
            <w:noWrap/>
          </w:tcPr>
          <w:p w:rsidR="00274C70" w:rsidRPr="002F45D2" w:rsidRDefault="00274C70" w:rsidP="00274C70">
            <w:pPr>
              <w:jc w:val="right"/>
              <w:rPr>
                <w:rFonts w:ascii="Calibri" w:hAnsi="Calibri"/>
                <w:color w:val="000000"/>
                <w:sz w:val="20"/>
                <w:szCs w:val="20"/>
              </w:rPr>
            </w:pPr>
            <w:r w:rsidRPr="002F45D2">
              <w:rPr>
                <w:rFonts w:ascii="Calibri" w:hAnsi="Calibri"/>
                <w:color w:val="000000"/>
                <w:sz w:val="20"/>
                <w:szCs w:val="20"/>
              </w:rPr>
              <w:t>33,971</w:t>
            </w:r>
          </w:p>
        </w:tc>
        <w:tc>
          <w:tcPr>
            <w:tcW w:w="1075" w:type="dxa"/>
            <w:noWrap/>
          </w:tcPr>
          <w:p w:rsidR="00274C70" w:rsidRPr="002F45D2" w:rsidRDefault="00274C70" w:rsidP="00274C7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F45D2">
              <w:rPr>
                <w:rFonts w:ascii="Calibri" w:hAnsi="Calibri"/>
                <w:color w:val="000000"/>
                <w:sz w:val="20"/>
                <w:szCs w:val="20"/>
              </w:rPr>
              <w:t>4,536</w:t>
            </w:r>
          </w:p>
        </w:tc>
      </w:tr>
    </w:tbl>
    <w:p w:rsidR="008A1DD4" w:rsidRDefault="008A1DD4" w:rsidP="008A1DD4"/>
    <w:p w:rsidR="00F149E6" w:rsidRPr="00682428" w:rsidRDefault="004C66F0" w:rsidP="00F149E6">
      <w:pPr>
        <w:rPr>
          <w:i/>
        </w:rPr>
      </w:pPr>
      <w:bookmarkStart w:id="7" w:name="Table4"/>
      <w:r>
        <w:rPr>
          <w:i/>
        </w:rPr>
        <w:t>Table 4</w:t>
      </w:r>
      <w:r w:rsidR="00F149E6" w:rsidRPr="00682428">
        <w:rPr>
          <w:i/>
        </w:rPr>
        <w:t xml:space="preserve">: Number of sites reporting ART emissions to water, and percentage of total </w:t>
      </w:r>
      <w:r w:rsidR="00DC1AC0">
        <w:rPr>
          <w:i/>
        </w:rPr>
        <w:t xml:space="preserve">ART </w:t>
      </w:r>
      <w:r w:rsidR="00F149E6" w:rsidRPr="00682428">
        <w:rPr>
          <w:i/>
        </w:rPr>
        <w:t>emission</w:t>
      </w:r>
      <w:r w:rsidR="00DC1AC0">
        <w:rPr>
          <w:i/>
        </w:rPr>
        <w:t>s</w:t>
      </w:r>
      <w:r w:rsidR="00F149E6" w:rsidRPr="00682428">
        <w:rPr>
          <w:i/>
        </w:rPr>
        <w:t xml:space="preserve"> released, by sector and pollutant</w:t>
      </w:r>
      <w:r w:rsidR="00E1501B">
        <w:rPr>
          <w:i/>
        </w:rPr>
        <w:t xml:space="preserve"> for 2019</w:t>
      </w:r>
    </w:p>
    <w:tbl>
      <w:tblPr>
        <w:tblStyle w:val="PlainTable1"/>
        <w:tblW w:w="10631" w:type="dxa"/>
        <w:tblLayout w:type="fixed"/>
        <w:tblCellMar>
          <w:left w:w="57" w:type="dxa"/>
          <w:right w:w="57" w:type="dxa"/>
        </w:tblCellMar>
        <w:tblLook w:val="02A0" w:firstRow="1" w:lastRow="0" w:firstColumn="1" w:lastColumn="0" w:noHBand="1" w:noVBand="0"/>
      </w:tblPr>
      <w:tblGrid>
        <w:gridCol w:w="3097"/>
        <w:gridCol w:w="657"/>
        <w:gridCol w:w="567"/>
        <w:gridCol w:w="574"/>
        <w:gridCol w:w="571"/>
        <w:gridCol w:w="573"/>
        <w:gridCol w:w="571"/>
        <w:gridCol w:w="574"/>
        <w:gridCol w:w="570"/>
        <w:gridCol w:w="574"/>
        <w:gridCol w:w="570"/>
        <w:gridCol w:w="574"/>
        <w:gridCol w:w="571"/>
        <w:gridCol w:w="570"/>
        <w:gridCol w:w="18"/>
      </w:tblGrid>
      <w:tr w:rsidR="002C4AD6" w:rsidRPr="00407C2E" w:rsidTr="002C4AD6">
        <w:trPr>
          <w:cnfStyle w:val="100000000000" w:firstRow="1" w:lastRow="0" w:firstColumn="0" w:lastColumn="0" w:oddVBand="0" w:evenVBand="0" w:oddHBand="0" w:evenHBand="0" w:firstRowFirstColumn="0" w:firstRowLastColumn="0" w:lastRowFirstColumn="0" w:lastRowLastColumn="0"/>
          <w:trHeight w:val="1950"/>
          <w:tblHeader/>
        </w:trPr>
        <w:tc>
          <w:tcPr>
            <w:cnfStyle w:val="001000000000" w:firstRow="0" w:lastRow="0" w:firstColumn="1" w:lastColumn="0" w:oddVBand="0" w:evenVBand="0" w:oddHBand="0" w:evenHBand="0" w:firstRowFirstColumn="0" w:firstRowLastColumn="0" w:lastRowFirstColumn="0" w:lastRowLastColumn="0"/>
            <w:tcW w:w="3097" w:type="dxa"/>
            <w:vMerge w:val="restart"/>
            <w:tcBorders>
              <w:bottom w:val="single" w:sz="4" w:space="0" w:color="auto"/>
            </w:tcBorders>
            <w:noWrap/>
            <w:hideMark/>
          </w:tcPr>
          <w:bookmarkEnd w:id="7"/>
          <w:p w:rsidR="00F149E6" w:rsidRPr="00407C2E" w:rsidRDefault="00F149E6" w:rsidP="00682428">
            <w:pPr>
              <w:rPr>
                <w:b w:val="0"/>
                <w:sz w:val="20"/>
                <w:szCs w:val="20"/>
              </w:rPr>
            </w:pPr>
            <w:r w:rsidRPr="00407C2E">
              <w:rPr>
                <w:b w:val="0"/>
                <w:sz w:val="20"/>
                <w:szCs w:val="20"/>
              </w:rPr>
              <w:t xml:space="preserve">Pollutant </w:t>
            </w:r>
          </w:p>
        </w:tc>
        <w:tc>
          <w:tcPr>
            <w:cnfStyle w:val="000010000000" w:firstRow="0" w:lastRow="0" w:firstColumn="0" w:lastColumn="0" w:oddVBand="1" w:evenVBand="0" w:oddHBand="0" w:evenHBand="0" w:firstRowFirstColumn="0" w:firstRowLastColumn="0" w:lastRowFirstColumn="0" w:lastRowLastColumn="0"/>
            <w:tcW w:w="657" w:type="dxa"/>
            <w:vMerge w:val="restart"/>
            <w:tcBorders>
              <w:bottom w:val="single" w:sz="4" w:space="0" w:color="auto"/>
            </w:tcBorders>
            <w:shd w:val="clear" w:color="auto" w:fill="auto"/>
            <w:noWrap/>
            <w:hideMark/>
          </w:tcPr>
          <w:p w:rsidR="00F149E6" w:rsidRPr="006F0F3B" w:rsidRDefault="00F149E6" w:rsidP="00682428">
            <w:pPr>
              <w:rPr>
                <w:sz w:val="20"/>
                <w:szCs w:val="20"/>
              </w:rPr>
            </w:pPr>
            <w:r w:rsidRPr="006F0F3B">
              <w:rPr>
                <w:sz w:val="20"/>
                <w:szCs w:val="20"/>
              </w:rPr>
              <w:t>Total no of ART sites</w:t>
            </w:r>
          </w:p>
        </w:tc>
        <w:tc>
          <w:tcPr>
            <w:tcW w:w="1141" w:type="dxa"/>
            <w:gridSpan w:val="2"/>
            <w:shd w:val="clear" w:color="auto" w:fill="F2F2F2" w:themeFill="background1" w:themeFillShade="F2"/>
            <w:hideMark/>
          </w:tcPr>
          <w:p w:rsidR="00F149E6" w:rsidRPr="00407C2E" w:rsidRDefault="00F149E6" w:rsidP="00682428">
            <w:pPr>
              <w:cnfStyle w:val="100000000000" w:firstRow="1" w:lastRow="0" w:firstColumn="0" w:lastColumn="0" w:oddVBand="0" w:evenVBand="0" w:oddHBand="0" w:evenHBand="0" w:firstRowFirstColumn="0" w:firstRowLastColumn="0" w:lastRowFirstColumn="0" w:lastRowLastColumn="0"/>
              <w:rPr>
                <w:b w:val="0"/>
                <w:sz w:val="20"/>
                <w:szCs w:val="20"/>
              </w:rPr>
            </w:pPr>
            <w:r w:rsidRPr="00407C2E">
              <w:rPr>
                <w:b w:val="0"/>
                <w:sz w:val="20"/>
                <w:szCs w:val="20"/>
              </w:rPr>
              <w:t>1 - Energy sector</w:t>
            </w:r>
          </w:p>
        </w:tc>
        <w:tc>
          <w:tcPr>
            <w:cnfStyle w:val="000010000000" w:firstRow="0" w:lastRow="0" w:firstColumn="0" w:lastColumn="0" w:oddVBand="1" w:evenVBand="0" w:oddHBand="0" w:evenHBand="0" w:firstRowFirstColumn="0" w:firstRowLastColumn="0" w:lastRowFirstColumn="0" w:lastRowLastColumn="0"/>
            <w:tcW w:w="1144" w:type="dxa"/>
            <w:gridSpan w:val="2"/>
            <w:shd w:val="clear" w:color="auto" w:fill="auto"/>
            <w:hideMark/>
          </w:tcPr>
          <w:p w:rsidR="00F149E6" w:rsidRPr="00407C2E" w:rsidRDefault="00F149E6" w:rsidP="00682428">
            <w:pPr>
              <w:rPr>
                <w:b w:val="0"/>
                <w:sz w:val="20"/>
                <w:szCs w:val="20"/>
              </w:rPr>
            </w:pPr>
            <w:r w:rsidRPr="00407C2E">
              <w:rPr>
                <w:b w:val="0"/>
                <w:sz w:val="20"/>
                <w:szCs w:val="20"/>
              </w:rPr>
              <w:t>4 - Chemical industry</w:t>
            </w:r>
          </w:p>
        </w:tc>
        <w:tc>
          <w:tcPr>
            <w:tcW w:w="1145" w:type="dxa"/>
            <w:gridSpan w:val="2"/>
            <w:shd w:val="clear" w:color="auto" w:fill="F2F2F2" w:themeFill="background1" w:themeFillShade="F2"/>
            <w:hideMark/>
          </w:tcPr>
          <w:p w:rsidR="00F149E6" w:rsidRPr="00407C2E" w:rsidRDefault="00F149E6" w:rsidP="00682428">
            <w:pPr>
              <w:cnfStyle w:val="100000000000" w:firstRow="1" w:lastRow="0" w:firstColumn="0" w:lastColumn="0" w:oddVBand="0" w:evenVBand="0" w:oddHBand="0" w:evenHBand="0" w:firstRowFirstColumn="0" w:firstRowLastColumn="0" w:lastRowFirstColumn="0" w:lastRowLastColumn="0"/>
              <w:rPr>
                <w:b w:val="0"/>
                <w:sz w:val="20"/>
                <w:szCs w:val="20"/>
              </w:rPr>
            </w:pPr>
            <w:r w:rsidRPr="00407C2E">
              <w:rPr>
                <w:b w:val="0"/>
                <w:sz w:val="20"/>
                <w:szCs w:val="20"/>
              </w:rPr>
              <w:t>5 - Waste and waste-water m/</w:t>
            </w:r>
            <w:proofErr w:type="spellStart"/>
            <w:r w:rsidRPr="00407C2E">
              <w:rPr>
                <w:b w:val="0"/>
                <w:sz w:val="20"/>
                <w:szCs w:val="20"/>
              </w:rPr>
              <w:t>ment</w:t>
            </w:r>
            <w:proofErr w:type="spellEnd"/>
          </w:p>
        </w:tc>
        <w:tc>
          <w:tcPr>
            <w:cnfStyle w:val="000010000000" w:firstRow="0" w:lastRow="0" w:firstColumn="0" w:lastColumn="0" w:oddVBand="1" w:evenVBand="0" w:oddHBand="0" w:evenHBand="0" w:firstRowFirstColumn="0" w:firstRowLastColumn="0" w:lastRowFirstColumn="0" w:lastRowLastColumn="0"/>
            <w:tcW w:w="1144" w:type="dxa"/>
            <w:gridSpan w:val="2"/>
            <w:shd w:val="clear" w:color="auto" w:fill="auto"/>
            <w:hideMark/>
          </w:tcPr>
          <w:p w:rsidR="00F149E6" w:rsidRPr="00407C2E" w:rsidRDefault="00F149E6" w:rsidP="00682428">
            <w:pPr>
              <w:rPr>
                <w:b w:val="0"/>
                <w:sz w:val="20"/>
                <w:szCs w:val="20"/>
              </w:rPr>
            </w:pPr>
            <w:r w:rsidRPr="00407C2E">
              <w:rPr>
                <w:b w:val="0"/>
                <w:sz w:val="20"/>
                <w:szCs w:val="20"/>
              </w:rPr>
              <w:t>6 - Paper and wood production and processing</w:t>
            </w:r>
          </w:p>
        </w:tc>
        <w:tc>
          <w:tcPr>
            <w:tcW w:w="1144" w:type="dxa"/>
            <w:gridSpan w:val="2"/>
            <w:shd w:val="clear" w:color="auto" w:fill="F2F2F2" w:themeFill="background1" w:themeFillShade="F2"/>
            <w:hideMark/>
          </w:tcPr>
          <w:p w:rsidR="00F149E6" w:rsidRPr="00407C2E" w:rsidRDefault="00F149E6" w:rsidP="00682428">
            <w:pPr>
              <w:cnfStyle w:val="100000000000" w:firstRow="1" w:lastRow="0" w:firstColumn="0" w:lastColumn="0" w:oddVBand="0" w:evenVBand="0" w:oddHBand="0" w:evenHBand="0" w:firstRowFirstColumn="0" w:firstRowLastColumn="0" w:lastRowFirstColumn="0" w:lastRowLastColumn="0"/>
              <w:rPr>
                <w:b w:val="0"/>
                <w:sz w:val="20"/>
                <w:szCs w:val="20"/>
              </w:rPr>
            </w:pPr>
            <w:r w:rsidRPr="00407C2E">
              <w:rPr>
                <w:b w:val="0"/>
                <w:sz w:val="20"/>
                <w:szCs w:val="20"/>
              </w:rPr>
              <w:t>7 - Intensive livestock production and aquaculture</w:t>
            </w:r>
          </w:p>
        </w:tc>
        <w:tc>
          <w:tcPr>
            <w:cnfStyle w:val="000010000000" w:firstRow="0" w:lastRow="0" w:firstColumn="0" w:lastColumn="0" w:oddVBand="1" w:evenVBand="0" w:oddHBand="0" w:evenHBand="0" w:firstRowFirstColumn="0" w:firstRowLastColumn="0" w:lastRowFirstColumn="0" w:lastRowLastColumn="0"/>
            <w:tcW w:w="1159" w:type="dxa"/>
            <w:gridSpan w:val="3"/>
            <w:shd w:val="clear" w:color="auto" w:fill="auto"/>
            <w:hideMark/>
          </w:tcPr>
          <w:p w:rsidR="00F149E6" w:rsidRPr="00407C2E" w:rsidRDefault="00F149E6" w:rsidP="00682428">
            <w:pPr>
              <w:rPr>
                <w:b w:val="0"/>
                <w:sz w:val="20"/>
                <w:szCs w:val="20"/>
              </w:rPr>
            </w:pPr>
            <w:r w:rsidRPr="00407C2E">
              <w:rPr>
                <w:b w:val="0"/>
                <w:sz w:val="20"/>
                <w:szCs w:val="20"/>
              </w:rPr>
              <w:t xml:space="preserve">8 - Animal and vegetable products from the food and beverage sector </w:t>
            </w:r>
          </w:p>
        </w:tc>
      </w:tr>
      <w:tr w:rsidR="00407C2E" w:rsidRPr="00407C2E" w:rsidTr="002C4AD6">
        <w:trPr>
          <w:gridAfter w:val="1"/>
          <w:cnfStyle w:val="100000000000" w:firstRow="1" w:lastRow="0" w:firstColumn="0" w:lastColumn="0" w:oddVBand="0" w:evenVBand="0" w:oddHBand="0" w:evenHBand="0" w:firstRowFirstColumn="0" w:firstRowLastColumn="0" w:lastRowFirstColumn="0" w:lastRowLastColumn="0"/>
          <w:wAfter w:w="18" w:type="dxa"/>
          <w:trHeight w:val="657"/>
          <w:tblHeader/>
        </w:trPr>
        <w:tc>
          <w:tcPr>
            <w:cnfStyle w:val="001000000000" w:firstRow="0" w:lastRow="0" w:firstColumn="1" w:lastColumn="0" w:oddVBand="0" w:evenVBand="0" w:oddHBand="0" w:evenHBand="0" w:firstRowFirstColumn="0" w:firstRowLastColumn="0" w:lastRowFirstColumn="0" w:lastRowLastColumn="0"/>
            <w:tcW w:w="3097" w:type="dxa"/>
            <w:vMerge/>
            <w:tcBorders>
              <w:bottom w:val="single" w:sz="4" w:space="0" w:color="auto"/>
            </w:tcBorders>
            <w:noWrap/>
            <w:hideMark/>
          </w:tcPr>
          <w:p w:rsidR="00F149E6" w:rsidRPr="00407C2E" w:rsidRDefault="00F149E6" w:rsidP="00682428">
            <w:pPr>
              <w:rPr>
                <w:b w:val="0"/>
                <w:sz w:val="20"/>
                <w:szCs w:val="20"/>
              </w:rPr>
            </w:pPr>
          </w:p>
        </w:tc>
        <w:tc>
          <w:tcPr>
            <w:cnfStyle w:val="000010000000" w:firstRow="0" w:lastRow="0" w:firstColumn="0" w:lastColumn="0" w:oddVBand="1" w:evenVBand="0" w:oddHBand="0" w:evenHBand="0" w:firstRowFirstColumn="0" w:firstRowLastColumn="0" w:lastRowFirstColumn="0" w:lastRowLastColumn="0"/>
            <w:tcW w:w="657" w:type="dxa"/>
            <w:vMerge/>
            <w:tcBorders>
              <w:bottom w:val="single" w:sz="4" w:space="0" w:color="auto"/>
            </w:tcBorders>
            <w:shd w:val="clear" w:color="auto" w:fill="auto"/>
            <w:noWrap/>
            <w:textDirection w:val="btLr"/>
            <w:hideMark/>
          </w:tcPr>
          <w:p w:rsidR="00F149E6" w:rsidRPr="006F0F3B" w:rsidRDefault="00F149E6" w:rsidP="00682428">
            <w:pPr>
              <w:rPr>
                <w:sz w:val="20"/>
                <w:szCs w:val="20"/>
              </w:rPr>
            </w:pPr>
          </w:p>
        </w:tc>
        <w:tc>
          <w:tcPr>
            <w:tcW w:w="567" w:type="dxa"/>
            <w:tcBorders>
              <w:bottom w:val="single" w:sz="4" w:space="0" w:color="auto"/>
            </w:tcBorders>
            <w:shd w:val="clear" w:color="auto" w:fill="F2F2F2" w:themeFill="background1" w:themeFillShade="F2"/>
            <w:noWrap/>
            <w:hideMark/>
          </w:tcPr>
          <w:p w:rsidR="00F149E6" w:rsidRPr="002C4AD6" w:rsidRDefault="00F149E6" w:rsidP="00682428">
            <w:pPr>
              <w:cnfStyle w:val="100000000000" w:firstRow="1" w:lastRow="0" w:firstColumn="0" w:lastColumn="0" w:oddVBand="0" w:evenVBand="0" w:oddHBand="0" w:evenHBand="0" w:firstRowFirstColumn="0" w:firstRowLastColumn="0" w:lastRowFirstColumn="0" w:lastRowLastColumn="0"/>
              <w:rPr>
                <w:sz w:val="20"/>
                <w:szCs w:val="20"/>
              </w:rPr>
            </w:pPr>
            <w:r w:rsidRPr="002C4AD6">
              <w:rPr>
                <w:sz w:val="20"/>
                <w:szCs w:val="20"/>
              </w:rPr>
              <w:t>Sites</w:t>
            </w:r>
          </w:p>
        </w:tc>
        <w:tc>
          <w:tcPr>
            <w:cnfStyle w:val="000010000000" w:firstRow="0" w:lastRow="0" w:firstColumn="0" w:lastColumn="0" w:oddVBand="1" w:evenVBand="0" w:oddHBand="0" w:evenHBand="0" w:firstRowFirstColumn="0" w:firstRowLastColumn="0" w:lastRowFirstColumn="0" w:lastRowLastColumn="0"/>
            <w:tcW w:w="574" w:type="dxa"/>
            <w:tcBorders>
              <w:bottom w:val="single" w:sz="4" w:space="0" w:color="auto"/>
            </w:tcBorders>
            <w:noWrap/>
            <w:hideMark/>
          </w:tcPr>
          <w:p w:rsidR="00F149E6" w:rsidRPr="002C4AD6" w:rsidRDefault="00F149E6" w:rsidP="00682428">
            <w:pPr>
              <w:rPr>
                <w:sz w:val="20"/>
                <w:szCs w:val="20"/>
              </w:rPr>
            </w:pPr>
            <w:r w:rsidRPr="002C4AD6">
              <w:rPr>
                <w:sz w:val="20"/>
                <w:szCs w:val="20"/>
              </w:rPr>
              <w:t>% of 2019</w:t>
            </w:r>
          </w:p>
        </w:tc>
        <w:tc>
          <w:tcPr>
            <w:tcW w:w="571" w:type="dxa"/>
            <w:tcBorders>
              <w:bottom w:val="single" w:sz="4" w:space="0" w:color="auto"/>
            </w:tcBorders>
            <w:shd w:val="clear" w:color="auto" w:fill="auto"/>
            <w:noWrap/>
            <w:hideMark/>
          </w:tcPr>
          <w:p w:rsidR="00F149E6" w:rsidRPr="002C4AD6" w:rsidRDefault="00F149E6" w:rsidP="00682428">
            <w:pPr>
              <w:cnfStyle w:val="100000000000" w:firstRow="1" w:lastRow="0" w:firstColumn="0" w:lastColumn="0" w:oddVBand="0" w:evenVBand="0" w:oddHBand="0" w:evenHBand="0" w:firstRowFirstColumn="0" w:firstRowLastColumn="0" w:lastRowFirstColumn="0" w:lastRowLastColumn="0"/>
              <w:rPr>
                <w:sz w:val="20"/>
                <w:szCs w:val="20"/>
              </w:rPr>
            </w:pPr>
            <w:r w:rsidRPr="002C4AD6">
              <w:rPr>
                <w:sz w:val="20"/>
                <w:szCs w:val="20"/>
              </w:rPr>
              <w:t>Sites</w:t>
            </w:r>
          </w:p>
        </w:tc>
        <w:tc>
          <w:tcPr>
            <w:cnfStyle w:val="000010000000" w:firstRow="0" w:lastRow="0" w:firstColumn="0" w:lastColumn="0" w:oddVBand="1" w:evenVBand="0" w:oddHBand="0" w:evenHBand="0" w:firstRowFirstColumn="0" w:firstRowLastColumn="0" w:lastRowFirstColumn="0" w:lastRowLastColumn="0"/>
            <w:tcW w:w="573" w:type="dxa"/>
            <w:tcBorders>
              <w:bottom w:val="single" w:sz="4" w:space="0" w:color="auto"/>
            </w:tcBorders>
            <w:shd w:val="clear" w:color="auto" w:fill="auto"/>
            <w:noWrap/>
            <w:hideMark/>
          </w:tcPr>
          <w:p w:rsidR="00F149E6" w:rsidRPr="002C4AD6" w:rsidRDefault="00F149E6" w:rsidP="00682428">
            <w:pPr>
              <w:rPr>
                <w:sz w:val="20"/>
                <w:szCs w:val="20"/>
              </w:rPr>
            </w:pPr>
            <w:r w:rsidRPr="002C4AD6">
              <w:rPr>
                <w:sz w:val="20"/>
                <w:szCs w:val="20"/>
              </w:rPr>
              <w:t>% of 2019</w:t>
            </w:r>
          </w:p>
        </w:tc>
        <w:tc>
          <w:tcPr>
            <w:tcW w:w="571" w:type="dxa"/>
            <w:tcBorders>
              <w:bottom w:val="single" w:sz="4" w:space="0" w:color="auto"/>
            </w:tcBorders>
            <w:shd w:val="clear" w:color="auto" w:fill="F2F2F2" w:themeFill="background1" w:themeFillShade="F2"/>
            <w:noWrap/>
            <w:hideMark/>
          </w:tcPr>
          <w:p w:rsidR="00F149E6" w:rsidRPr="002C4AD6" w:rsidRDefault="00F149E6" w:rsidP="00682428">
            <w:pPr>
              <w:cnfStyle w:val="100000000000" w:firstRow="1" w:lastRow="0" w:firstColumn="0" w:lastColumn="0" w:oddVBand="0" w:evenVBand="0" w:oddHBand="0" w:evenHBand="0" w:firstRowFirstColumn="0" w:firstRowLastColumn="0" w:lastRowFirstColumn="0" w:lastRowLastColumn="0"/>
              <w:rPr>
                <w:sz w:val="20"/>
                <w:szCs w:val="20"/>
              </w:rPr>
            </w:pPr>
            <w:r w:rsidRPr="002C4AD6">
              <w:rPr>
                <w:sz w:val="20"/>
                <w:szCs w:val="20"/>
              </w:rPr>
              <w:t>Sites</w:t>
            </w:r>
          </w:p>
        </w:tc>
        <w:tc>
          <w:tcPr>
            <w:cnfStyle w:val="000010000000" w:firstRow="0" w:lastRow="0" w:firstColumn="0" w:lastColumn="0" w:oddVBand="1" w:evenVBand="0" w:oddHBand="0" w:evenHBand="0" w:firstRowFirstColumn="0" w:firstRowLastColumn="0" w:lastRowFirstColumn="0" w:lastRowLastColumn="0"/>
            <w:tcW w:w="574" w:type="dxa"/>
            <w:tcBorders>
              <w:bottom w:val="single" w:sz="4" w:space="0" w:color="auto"/>
            </w:tcBorders>
            <w:noWrap/>
            <w:hideMark/>
          </w:tcPr>
          <w:p w:rsidR="00F149E6" w:rsidRPr="002C4AD6" w:rsidRDefault="00F149E6" w:rsidP="00682428">
            <w:pPr>
              <w:rPr>
                <w:sz w:val="20"/>
                <w:szCs w:val="20"/>
              </w:rPr>
            </w:pPr>
            <w:r w:rsidRPr="002C4AD6">
              <w:rPr>
                <w:sz w:val="20"/>
                <w:szCs w:val="20"/>
              </w:rPr>
              <w:t>% of 2019</w:t>
            </w:r>
          </w:p>
        </w:tc>
        <w:tc>
          <w:tcPr>
            <w:tcW w:w="570" w:type="dxa"/>
            <w:tcBorders>
              <w:bottom w:val="single" w:sz="4" w:space="0" w:color="auto"/>
            </w:tcBorders>
            <w:shd w:val="clear" w:color="auto" w:fill="auto"/>
            <w:noWrap/>
            <w:hideMark/>
          </w:tcPr>
          <w:p w:rsidR="00F149E6" w:rsidRPr="002C4AD6" w:rsidRDefault="00F149E6" w:rsidP="00682428">
            <w:pPr>
              <w:cnfStyle w:val="100000000000" w:firstRow="1" w:lastRow="0" w:firstColumn="0" w:lastColumn="0" w:oddVBand="0" w:evenVBand="0" w:oddHBand="0" w:evenHBand="0" w:firstRowFirstColumn="0" w:firstRowLastColumn="0" w:lastRowFirstColumn="0" w:lastRowLastColumn="0"/>
              <w:rPr>
                <w:sz w:val="20"/>
                <w:szCs w:val="20"/>
              </w:rPr>
            </w:pPr>
            <w:r w:rsidRPr="002C4AD6">
              <w:rPr>
                <w:sz w:val="20"/>
                <w:szCs w:val="20"/>
              </w:rPr>
              <w:t>Sites</w:t>
            </w:r>
          </w:p>
        </w:tc>
        <w:tc>
          <w:tcPr>
            <w:cnfStyle w:val="000010000000" w:firstRow="0" w:lastRow="0" w:firstColumn="0" w:lastColumn="0" w:oddVBand="1" w:evenVBand="0" w:oddHBand="0" w:evenHBand="0" w:firstRowFirstColumn="0" w:firstRowLastColumn="0" w:lastRowFirstColumn="0" w:lastRowLastColumn="0"/>
            <w:tcW w:w="574" w:type="dxa"/>
            <w:tcBorders>
              <w:bottom w:val="single" w:sz="4" w:space="0" w:color="auto"/>
            </w:tcBorders>
            <w:shd w:val="clear" w:color="auto" w:fill="auto"/>
            <w:noWrap/>
            <w:hideMark/>
          </w:tcPr>
          <w:p w:rsidR="00F149E6" w:rsidRPr="002C4AD6" w:rsidRDefault="00F149E6" w:rsidP="00682428">
            <w:pPr>
              <w:rPr>
                <w:sz w:val="20"/>
                <w:szCs w:val="20"/>
              </w:rPr>
            </w:pPr>
            <w:r w:rsidRPr="002C4AD6">
              <w:rPr>
                <w:sz w:val="20"/>
                <w:szCs w:val="20"/>
              </w:rPr>
              <w:t>% of 2019</w:t>
            </w:r>
          </w:p>
        </w:tc>
        <w:tc>
          <w:tcPr>
            <w:tcW w:w="570" w:type="dxa"/>
            <w:tcBorders>
              <w:bottom w:val="single" w:sz="4" w:space="0" w:color="auto"/>
            </w:tcBorders>
            <w:shd w:val="clear" w:color="auto" w:fill="F2F2F2" w:themeFill="background1" w:themeFillShade="F2"/>
            <w:noWrap/>
            <w:hideMark/>
          </w:tcPr>
          <w:p w:rsidR="00F149E6" w:rsidRPr="002C4AD6" w:rsidRDefault="00F149E6" w:rsidP="00682428">
            <w:pPr>
              <w:cnfStyle w:val="100000000000" w:firstRow="1" w:lastRow="0" w:firstColumn="0" w:lastColumn="0" w:oddVBand="0" w:evenVBand="0" w:oddHBand="0" w:evenHBand="0" w:firstRowFirstColumn="0" w:firstRowLastColumn="0" w:lastRowFirstColumn="0" w:lastRowLastColumn="0"/>
              <w:rPr>
                <w:sz w:val="20"/>
                <w:szCs w:val="20"/>
              </w:rPr>
            </w:pPr>
            <w:r w:rsidRPr="002C4AD6">
              <w:rPr>
                <w:sz w:val="20"/>
                <w:szCs w:val="20"/>
              </w:rPr>
              <w:t>Sites</w:t>
            </w:r>
          </w:p>
        </w:tc>
        <w:tc>
          <w:tcPr>
            <w:cnfStyle w:val="000010000000" w:firstRow="0" w:lastRow="0" w:firstColumn="0" w:lastColumn="0" w:oddVBand="1" w:evenVBand="0" w:oddHBand="0" w:evenHBand="0" w:firstRowFirstColumn="0" w:firstRowLastColumn="0" w:lastRowFirstColumn="0" w:lastRowLastColumn="0"/>
            <w:tcW w:w="574" w:type="dxa"/>
            <w:tcBorders>
              <w:bottom w:val="single" w:sz="4" w:space="0" w:color="auto"/>
            </w:tcBorders>
            <w:noWrap/>
            <w:hideMark/>
          </w:tcPr>
          <w:p w:rsidR="00F149E6" w:rsidRPr="002C4AD6" w:rsidRDefault="00F149E6" w:rsidP="00682428">
            <w:pPr>
              <w:rPr>
                <w:sz w:val="20"/>
                <w:szCs w:val="20"/>
              </w:rPr>
            </w:pPr>
            <w:r w:rsidRPr="002C4AD6">
              <w:rPr>
                <w:sz w:val="20"/>
                <w:szCs w:val="20"/>
              </w:rPr>
              <w:t>% of 2019</w:t>
            </w:r>
          </w:p>
        </w:tc>
        <w:tc>
          <w:tcPr>
            <w:tcW w:w="571" w:type="dxa"/>
            <w:tcBorders>
              <w:bottom w:val="single" w:sz="4" w:space="0" w:color="auto"/>
            </w:tcBorders>
            <w:shd w:val="clear" w:color="auto" w:fill="auto"/>
            <w:noWrap/>
            <w:hideMark/>
          </w:tcPr>
          <w:p w:rsidR="00F149E6" w:rsidRPr="002C4AD6" w:rsidRDefault="00F149E6" w:rsidP="00682428">
            <w:pPr>
              <w:cnfStyle w:val="100000000000" w:firstRow="1" w:lastRow="0" w:firstColumn="0" w:lastColumn="0" w:oddVBand="0" w:evenVBand="0" w:oddHBand="0" w:evenHBand="0" w:firstRowFirstColumn="0" w:firstRowLastColumn="0" w:lastRowFirstColumn="0" w:lastRowLastColumn="0"/>
              <w:rPr>
                <w:sz w:val="20"/>
                <w:szCs w:val="20"/>
              </w:rPr>
            </w:pPr>
            <w:r w:rsidRPr="002C4AD6">
              <w:rPr>
                <w:sz w:val="20"/>
                <w:szCs w:val="20"/>
              </w:rPr>
              <w:t>Sites</w:t>
            </w:r>
          </w:p>
        </w:tc>
        <w:tc>
          <w:tcPr>
            <w:cnfStyle w:val="000010000000" w:firstRow="0" w:lastRow="0" w:firstColumn="0" w:lastColumn="0" w:oddVBand="1" w:evenVBand="0" w:oddHBand="0" w:evenHBand="0" w:firstRowFirstColumn="0" w:firstRowLastColumn="0" w:lastRowFirstColumn="0" w:lastRowLastColumn="0"/>
            <w:tcW w:w="570" w:type="dxa"/>
            <w:tcBorders>
              <w:bottom w:val="single" w:sz="4" w:space="0" w:color="auto"/>
            </w:tcBorders>
            <w:shd w:val="clear" w:color="auto" w:fill="auto"/>
            <w:noWrap/>
            <w:hideMark/>
          </w:tcPr>
          <w:p w:rsidR="00F149E6" w:rsidRPr="002C4AD6" w:rsidRDefault="00F149E6" w:rsidP="00682428">
            <w:pPr>
              <w:rPr>
                <w:sz w:val="20"/>
                <w:szCs w:val="20"/>
              </w:rPr>
            </w:pPr>
            <w:r w:rsidRPr="002C4AD6">
              <w:rPr>
                <w:sz w:val="20"/>
                <w:szCs w:val="20"/>
              </w:rPr>
              <w:t>% of 2019</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tcBorders>
              <w:top w:val="single" w:sz="4" w:space="0" w:color="auto"/>
            </w:tcBorders>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 xml:space="preserve">Ammonia </w:t>
            </w:r>
          </w:p>
        </w:tc>
        <w:tc>
          <w:tcPr>
            <w:cnfStyle w:val="000010000000" w:firstRow="0" w:lastRow="0" w:firstColumn="0" w:lastColumn="0" w:oddVBand="1" w:evenVBand="0" w:oddHBand="0" w:evenHBand="0" w:firstRowFirstColumn="0" w:firstRowLastColumn="0" w:lastRowFirstColumn="0" w:lastRowLastColumn="0"/>
            <w:tcW w:w="657" w:type="dxa"/>
            <w:tcBorders>
              <w:top w:val="single" w:sz="4" w:space="0" w:color="auto"/>
            </w:tcBorders>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78</w:t>
            </w:r>
          </w:p>
        </w:tc>
        <w:tc>
          <w:tcPr>
            <w:tcW w:w="567" w:type="dxa"/>
            <w:tcBorders>
              <w:top w:val="single" w:sz="4" w:space="0" w:color="auto"/>
            </w:tcBorders>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4" w:type="dxa"/>
            <w:tcBorders>
              <w:top w:val="single" w:sz="4" w:space="0" w:color="auto"/>
            </w:tcBorders>
            <w:noWrap/>
            <w:vAlign w:val="center"/>
            <w:hideMark/>
          </w:tcPr>
          <w:p w:rsidR="00407C2E" w:rsidRPr="00407C2E" w:rsidRDefault="002C4AD6" w:rsidP="00407C2E">
            <w:pPr>
              <w:jc w:val="center"/>
              <w:rPr>
                <w:rFonts w:ascii="Calibri" w:hAnsi="Calibri"/>
                <w:color w:val="000000"/>
                <w:sz w:val="20"/>
                <w:szCs w:val="20"/>
              </w:rPr>
            </w:pPr>
            <w:r>
              <w:rPr>
                <w:rFonts w:ascii="Calibri" w:hAnsi="Calibri"/>
                <w:color w:val="000000"/>
                <w:sz w:val="20"/>
                <w:szCs w:val="20"/>
              </w:rPr>
              <w:t>&lt;1</w:t>
            </w:r>
            <w:r w:rsidR="00407C2E" w:rsidRPr="00407C2E">
              <w:rPr>
                <w:rFonts w:ascii="Calibri" w:hAnsi="Calibri"/>
                <w:color w:val="000000"/>
                <w:sz w:val="20"/>
                <w:szCs w:val="20"/>
              </w:rPr>
              <w:t>%</w:t>
            </w:r>
          </w:p>
        </w:tc>
        <w:tc>
          <w:tcPr>
            <w:tcW w:w="571" w:type="dxa"/>
            <w:tcBorders>
              <w:top w:val="single" w:sz="4" w:space="0" w:color="auto"/>
            </w:tcBorders>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tcBorders>
              <w:top w:val="single" w:sz="4" w:space="0" w:color="auto"/>
            </w:tcBorders>
            <w:shd w:val="clear" w:color="auto" w:fill="auto"/>
            <w:noWrap/>
            <w:vAlign w:val="center"/>
            <w:hideMark/>
          </w:tcPr>
          <w:p w:rsidR="00407C2E" w:rsidRPr="00407C2E" w:rsidRDefault="002C4AD6" w:rsidP="00407C2E">
            <w:pPr>
              <w:jc w:val="center"/>
              <w:rPr>
                <w:rFonts w:ascii="Calibri" w:hAnsi="Calibri"/>
                <w:color w:val="000000"/>
                <w:sz w:val="20"/>
                <w:szCs w:val="20"/>
              </w:rPr>
            </w:pPr>
            <w:r>
              <w:rPr>
                <w:rFonts w:ascii="Calibri" w:hAnsi="Calibri"/>
                <w:color w:val="000000"/>
                <w:sz w:val="20"/>
                <w:szCs w:val="20"/>
              </w:rPr>
              <w:t>&lt;1%</w:t>
            </w:r>
          </w:p>
        </w:tc>
        <w:tc>
          <w:tcPr>
            <w:tcW w:w="571" w:type="dxa"/>
            <w:tcBorders>
              <w:top w:val="single" w:sz="4" w:space="0" w:color="auto"/>
            </w:tcBorders>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73</w:t>
            </w:r>
          </w:p>
        </w:tc>
        <w:tc>
          <w:tcPr>
            <w:cnfStyle w:val="000010000000" w:firstRow="0" w:lastRow="0" w:firstColumn="0" w:lastColumn="0" w:oddVBand="1" w:evenVBand="0" w:oddHBand="0" w:evenHBand="0" w:firstRowFirstColumn="0" w:firstRowLastColumn="0" w:lastRowFirstColumn="0" w:lastRowLastColumn="0"/>
            <w:tcW w:w="574" w:type="dxa"/>
            <w:tcBorders>
              <w:top w:val="single" w:sz="4" w:space="0" w:color="auto"/>
            </w:tcBorders>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73%</w:t>
            </w:r>
          </w:p>
        </w:tc>
        <w:tc>
          <w:tcPr>
            <w:tcW w:w="570" w:type="dxa"/>
            <w:tcBorders>
              <w:top w:val="single" w:sz="4" w:space="0" w:color="auto"/>
            </w:tcBorders>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tcBorders>
              <w:top w:val="single" w:sz="4" w:space="0" w:color="auto"/>
            </w:tcBorders>
            <w:shd w:val="clear" w:color="auto" w:fill="auto"/>
            <w:noWrap/>
            <w:vAlign w:val="center"/>
            <w:hideMark/>
          </w:tcPr>
          <w:p w:rsidR="00407C2E" w:rsidRPr="00407C2E" w:rsidRDefault="00407C2E" w:rsidP="00407C2E">
            <w:pPr>
              <w:jc w:val="center"/>
              <w:rPr>
                <w:sz w:val="20"/>
                <w:szCs w:val="20"/>
              </w:rPr>
            </w:pPr>
          </w:p>
        </w:tc>
        <w:tc>
          <w:tcPr>
            <w:tcW w:w="570" w:type="dxa"/>
            <w:tcBorders>
              <w:top w:val="single" w:sz="4" w:space="0" w:color="auto"/>
            </w:tcBorders>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tcBorders>
              <w:top w:val="single" w:sz="4" w:space="0" w:color="auto"/>
            </w:tcBorders>
            <w:noWrap/>
            <w:vAlign w:val="center"/>
            <w:hideMark/>
          </w:tcPr>
          <w:p w:rsidR="00407C2E" w:rsidRPr="00407C2E" w:rsidRDefault="00407C2E" w:rsidP="00407C2E">
            <w:pPr>
              <w:jc w:val="center"/>
              <w:rPr>
                <w:sz w:val="20"/>
                <w:szCs w:val="20"/>
              </w:rPr>
            </w:pPr>
          </w:p>
        </w:tc>
        <w:tc>
          <w:tcPr>
            <w:tcW w:w="571" w:type="dxa"/>
            <w:tcBorders>
              <w:top w:val="single" w:sz="4" w:space="0" w:color="auto"/>
            </w:tcBorders>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0" w:type="dxa"/>
            <w:tcBorders>
              <w:top w:val="single" w:sz="4" w:space="0" w:color="auto"/>
            </w:tcBorders>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27%</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Anthracene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53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25%</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51</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75%</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Arsenic</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25</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5%</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4%</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91%</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Asbestos</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72</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72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Azamethiphos</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76</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76</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Benzene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5</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72%</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28%</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Benzo (</w:t>
            </w:r>
            <w:proofErr w:type="spellStart"/>
            <w:r w:rsidRPr="00407C2E">
              <w:rPr>
                <w:rFonts w:ascii="Calibri" w:hAnsi="Calibri"/>
                <w:b w:val="0"/>
                <w:color w:val="000000"/>
                <w:sz w:val="20"/>
                <w:szCs w:val="20"/>
              </w:rPr>
              <w:t>g,h,i</w:t>
            </w:r>
            <w:proofErr w:type="spellEnd"/>
            <w:r w:rsidRPr="00407C2E">
              <w:rPr>
                <w:rFonts w:ascii="Calibri" w:hAnsi="Calibri"/>
                <w:b w:val="0"/>
                <w:color w:val="000000"/>
                <w:sz w:val="20"/>
                <w:szCs w:val="20"/>
              </w:rPr>
              <w:t xml:space="preserve">) </w:t>
            </w:r>
            <w:proofErr w:type="spellStart"/>
            <w:r w:rsidRPr="00407C2E">
              <w:rPr>
                <w:rFonts w:ascii="Calibri" w:hAnsi="Calibri"/>
                <w:b w:val="0"/>
                <w:color w:val="000000"/>
                <w:sz w:val="20"/>
                <w:szCs w:val="20"/>
              </w:rPr>
              <w:t>perylene</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25</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25</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 xml:space="preserve">Benzo(a) </w:t>
            </w:r>
            <w:proofErr w:type="spellStart"/>
            <w:r w:rsidRPr="00407C2E">
              <w:rPr>
                <w:rFonts w:ascii="Calibri" w:hAnsi="Calibri"/>
                <w:b w:val="0"/>
                <w:color w:val="000000"/>
                <w:sz w:val="20"/>
                <w:szCs w:val="20"/>
              </w:rPr>
              <w:t>pyrene</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lastRenderedPageBreak/>
              <w:t xml:space="preserve">Brominated </w:t>
            </w:r>
            <w:proofErr w:type="spellStart"/>
            <w:r w:rsidRPr="00407C2E">
              <w:rPr>
                <w:rFonts w:ascii="Calibri" w:hAnsi="Calibri"/>
                <w:b w:val="0"/>
                <w:color w:val="000000"/>
                <w:sz w:val="20"/>
                <w:szCs w:val="20"/>
              </w:rPr>
              <w:t>diphenylethers</w:t>
            </w:r>
            <w:proofErr w:type="spellEnd"/>
            <w:r w:rsidRPr="00407C2E">
              <w:rPr>
                <w:rFonts w:ascii="Calibri" w:hAnsi="Calibri"/>
                <w:b w:val="0"/>
                <w:color w:val="000000"/>
                <w:sz w:val="20"/>
                <w:szCs w:val="20"/>
              </w:rPr>
              <w:t xml:space="preserve"> - total as Br</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Cadmium</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29</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6%</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84%</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9%</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Chlorides - total as Cl</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11</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7%</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10</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93%</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Chloroform</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4</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77%</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23%</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Chromium</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11</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8%</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21%</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8</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61%</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11%</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Copper</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134</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283D7A" w:rsidP="00407C2E">
            <w:pPr>
              <w:jc w:val="center"/>
              <w:rPr>
                <w:rFonts w:ascii="Calibri" w:hAnsi="Calibri"/>
                <w:color w:val="000000"/>
                <w:sz w:val="20"/>
                <w:szCs w:val="20"/>
              </w:rPr>
            </w:pPr>
            <w:r>
              <w:rPr>
                <w:rFonts w:ascii="Calibri" w:hAnsi="Calibri"/>
                <w:color w:val="000000"/>
                <w:sz w:val="20"/>
                <w:szCs w:val="20"/>
              </w:rPr>
              <w:t>&lt;1</w:t>
            </w:r>
            <w:r w:rsidR="00407C2E" w:rsidRPr="00407C2E">
              <w:rPr>
                <w:rFonts w:ascii="Calibri" w:hAnsi="Calibri"/>
                <w:color w:val="000000"/>
                <w:sz w:val="20"/>
                <w:szCs w:val="20"/>
              </w:rPr>
              <w:t>%</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70</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16%</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57</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79%</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3%</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Cyanides - total as CN</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10</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17%</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8</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83%</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Deltamethrin</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33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Di(2-ethylhexyl) phthalate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73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73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Dioxins and furans - as ITEQ</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4</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Dioxins and furans - as WHO TEQ</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4</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Diuron</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27</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27</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Emamectin</w:t>
            </w:r>
            <w:proofErr w:type="spellEnd"/>
            <w:r w:rsidRPr="00407C2E">
              <w:rPr>
                <w:rFonts w:ascii="Calibri" w:hAnsi="Calibri"/>
                <w:b w:val="0"/>
                <w:color w:val="000000"/>
                <w:sz w:val="20"/>
                <w:szCs w:val="20"/>
              </w:rPr>
              <w:t xml:space="preserve"> benzoate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109</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109</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Ethylbenzene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Fluoranthene</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19</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24%</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4%</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17</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72%</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Fluorides - total as F</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25</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99%</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Halogenated organic compounds - total as AOX</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Hexachlorocyclohexane</w:t>
            </w:r>
            <w:proofErr w:type="spellEnd"/>
            <w:r w:rsidRPr="00407C2E">
              <w:rPr>
                <w:rFonts w:ascii="Calibri" w:hAnsi="Calibri"/>
                <w:b w:val="0"/>
                <w:color w:val="000000"/>
                <w:sz w:val="20"/>
                <w:szCs w:val="20"/>
              </w:rPr>
              <w:t xml:space="preserve"> - all isomers</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5</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Iron</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48</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48</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Isoproturon</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9</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9</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Lead</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16</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3%</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8%</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88%</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Lindane</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Manganese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Mercury</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47</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8%</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40</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89%</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Methylene chloride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90%</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Naphthalene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75</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73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98%</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Nickel</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47</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4%</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71%</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23%</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Nitrogen - total as N</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177</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094B7E" w:rsidP="00407C2E">
            <w:pPr>
              <w:jc w:val="center"/>
              <w:rPr>
                <w:rFonts w:ascii="Calibri" w:hAnsi="Calibri"/>
                <w:color w:val="000000"/>
                <w:sz w:val="20"/>
                <w:szCs w:val="20"/>
              </w:rPr>
            </w:pPr>
            <w:r>
              <w:rPr>
                <w:rFonts w:ascii="Calibri" w:hAnsi="Calibri"/>
                <w:color w:val="000000"/>
                <w:sz w:val="20"/>
                <w:szCs w:val="20"/>
              </w:rPr>
              <w:t>&lt;1</w:t>
            </w:r>
            <w:r w:rsidR="00407C2E" w:rsidRPr="00407C2E">
              <w:rPr>
                <w:rFonts w:ascii="Calibri" w:hAnsi="Calibri"/>
                <w:color w:val="000000"/>
                <w:sz w:val="20"/>
                <w:szCs w:val="20"/>
              </w:rPr>
              <w:t>%</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57</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55%</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117</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32%</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12%</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Nonylphenol</w:t>
            </w:r>
            <w:proofErr w:type="spellEnd"/>
            <w:r w:rsidRPr="00407C2E">
              <w:rPr>
                <w:rFonts w:ascii="Calibri" w:hAnsi="Calibri"/>
                <w:b w:val="0"/>
                <w:color w:val="000000"/>
                <w:sz w:val="20"/>
                <w:szCs w:val="20"/>
              </w:rPr>
              <w:t xml:space="preserve"> </w:t>
            </w:r>
            <w:proofErr w:type="spellStart"/>
            <w:r w:rsidRPr="00407C2E">
              <w:rPr>
                <w:rFonts w:ascii="Calibri" w:hAnsi="Calibri"/>
                <w:b w:val="0"/>
                <w:color w:val="000000"/>
                <w:sz w:val="20"/>
                <w:szCs w:val="20"/>
              </w:rPr>
              <w:t>ethoxylates</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73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73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Nonylphenols</w:t>
            </w:r>
            <w:proofErr w:type="spellEnd"/>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68</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68</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Nonylphenol</w:t>
            </w:r>
            <w:proofErr w:type="spellEnd"/>
            <w:r w:rsidRPr="00407C2E">
              <w:rPr>
                <w:rFonts w:ascii="Calibri" w:hAnsi="Calibri"/>
                <w:b w:val="0"/>
                <w:color w:val="000000"/>
                <w:sz w:val="20"/>
                <w:szCs w:val="20"/>
              </w:rPr>
              <w:t xml:space="preserve"> and </w:t>
            </w:r>
            <w:proofErr w:type="spellStart"/>
            <w:r w:rsidRPr="00407C2E">
              <w:rPr>
                <w:rFonts w:ascii="Calibri" w:hAnsi="Calibri"/>
                <w:b w:val="0"/>
                <w:color w:val="000000"/>
                <w:sz w:val="20"/>
                <w:szCs w:val="20"/>
              </w:rPr>
              <w:t>nonylphenol</w:t>
            </w:r>
            <w:proofErr w:type="spellEnd"/>
            <w:r w:rsidRPr="00407C2E">
              <w:rPr>
                <w:rFonts w:ascii="Calibri" w:hAnsi="Calibri"/>
                <w:b w:val="0"/>
                <w:color w:val="000000"/>
                <w:sz w:val="20"/>
                <w:szCs w:val="20"/>
              </w:rPr>
              <w:t xml:space="preserve"> </w:t>
            </w:r>
            <w:proofErr w:type="spellStart"/>
            <w:r w:rsidRPr="00407C2E">
              <w:rPr>
                <w:rFonts w:ascii="Calibri" w:hAnsi="Calibri"/>
                <w:b w:val="0"/>
                <w:color w:val="000000"/>
                <w:sz w:val="20"/>
                <w:szCs w:val="20"/>
              </w:rPr>
              <w:t>ethoxylates</w:t>
            </w:r>
            <w:proofErr w:type="spellEnd"/>
            <w:r w:rsidRPr="00407C2E">
              <w:rPr>
                <w:rFonts w:ascii="Calibri" w:hAnsi="Calibri"/>
                <w:b w:val="0"/>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73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73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Octylphenol</w:t>
            </w:r>
            <w:proofErr w:type="spellEnd"/>
            <w:r w:rsidRPr="00407C2E">
              <w:rPr>
                <w:rFonts w:ascii="Calibri" w:hAnsi="Calibri"/>
                <w:b w:val="0"/>
                <w:color w:val="000000"/>
                <w:sz w:val="20"/>
                <w:szCs w:val="20"/>
              </w:rPr>
              <w:t xml:space="preserve"> and </w:t>
            </w:r>
            <w:proofErr w:type="spellStart"/>
            <w:r w:rsidRPr="00407C2E">
              <w:rPr>
                <w:rFonts w:ascii="Calibri" w:hAnsi="Calibri"/>
                <w:b w:val="0"/>
                <w:color w:val="000000"/>
                <w:sz w:val="20"/>
                <w:szCs w:val="20"/>
              </w:rPr>
              <w:t>octylphenol</w:t>
            </w:r>
            <w:proofErr w:type="spellEnd"/>
            <w:r w:rsidRPr="00407C2E">
              <w:rPr>
                <w:rFonts w:ascii="Calibri" w:hAnsi="Calibri"/>
                <w:b w:val="0"/>
                <w:color w:val="000000"/>
                <w:sz w:val="20"/>
                <w:szCs w:val="20"/>
              </w:rPr>
              <w:t xml:space="preserve"> </w:t>
            </w:r>
            <w:proofErr w:type="spellStart"/>
            <w:r w:rsidRPr="00407C2E">
              <w:rPr>
                <w:rFonts w:ascii="Calibri" w:hAnsi="Calibri"/>
                <w:b w:val="0"/>
                <w:color w:val="000000"/>
                <w:sz w:val="20"/>
                <w:szCs w:val="20"/>
              </w:rPr>
              <w:t>ethoxylates</w:t>
            </w:r>
            <w:proofErr w:type="spellEnd"/>
            <w:r w:rsidRPr="00407C2E">
              <w:rPr>
                <w:rFonts w:ascii="Calibri" w:hAnsi="Calibri"/>
                <w:b w:val="0"/>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proofErr w:type="spellStart"/>
            <w:r w:rsidRPr="00407C2E">
              <w:rPr>
                <w:rFonts w:ascii="Calibri" w:hAnsi="Calibri"/>
                <w:b w:val="0"/>
                <w:color w:val="000000"/>
                <w:sz w:val="20"/>
                <w:szCs w:val="20"/>
              </w:rPr>
              <w:t>Octylphenols</w:t>
            </w:r>
            <w:proofErr w:type="spellEnd"/>
            <w:r w:rsidRPr="00407C2E">
              <w:rPr>
                <w:rFonts w:ascii="Calibri" w:hAnsi="Calibri"/>
                <w:b w:val="0"/>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3</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Organic tin compounds - total as Sn</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Pentachlorophenol</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Permethrin</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Phenols - total as C</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10</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40%</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50%</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lastRenderedPageBreak/>
              <w:t>Phosphorus - total as P</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196</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w:t>
            </w: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52</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50%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140</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39%</w:t>
            </w: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11%</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hideMark/>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Polycyclic aromatic hydrocarbons (PAHs)</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hideMark/>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21</w:t>
            </w:r>
          </w:p>
        </w:tc>
        <w:tc>
          <w:tcPr>
            <w:tcW w:w="567"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hideMark/>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21</w:t>
            </w: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hideMark/>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hideMark/>
          </w:tcPr>
          <w:p w:rsidR="00407C2E" w:rsidRPr="00407C2E" w:rsidRDefault="00407C2E" w:rsidP="00407C2E">
            <w:pPr>
              <w:jc w:val="center"/>
              <w:rPr>
                <w:sz w:val="20"/>
                <w:szCs w:val="20"/>
              </w:rPr>
            </w:pPr>
          </w:p>
        </w:tc>
        <w:tc>
          <w:tcPr>
            <w:tcW w:w="571" w:type="dxa"/>
            <w:shd w:val="clear" w:color="auto" w:fill="auto"/>
            <w:noWrap/>
            <w:vAlign w:val="center"/>
            <w:hideMark/>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hideMark/>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Tetrachloroethylene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w:t>
            </w:r>
          </w:p>
        </w:tc>
        <w:tc>
          <w:tcPr>
            <w:tcW w:w="567"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1"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0"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Toluene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6</w:t>
            </w:r>
          </w:p>
        </w:tc>
        <w:tc>
          <w:tcPr>
            <w:tcW w:w="567"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66%</w:t>
            </w: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34%</w:t>
            </w:r>
          </w:p>
        </w:tc>
        <w:tc>
          <w:tcPr>
            <w:tcW w:w="571"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0"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Total organic carbon or COD/3</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217</w:t>
            </w:r>
          </w:p>
        </w:tc>
        <w:tc>
          <w:tcPr>
            <w:tcW w:w="567"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w:t>
            </w:r>
          </w:p>
        </w:tc>
        <w:tc>
          <w:tcPr>
            <w:tcW w:w="571"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33</w:t>
            </w: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17%</w:t>
            </w:r>
          </w:p>
        </w:tc>
        <w:tc>
          <w:tcPr>
            <w:tcW w:w="570"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w:t>
            </w:r>
          </w:p>
        </w:tc>
        <w:tc>
          <w:tcPr>
            <w:tcW w:w="570"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178</w:t>
            </w: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63%</w:t>
            </w: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17%</w:t>
            </w: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Tributyltin compounds</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25</w:t>
            </w:r>
          </w:p>
        </w:tc>
        <w:tc>
          <w:tcPr>
            <w:tcW w:w="567"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tcPr>
          <w:p w:rsidR="00407C2E" w:rsidRPr="00407C2E" w:rsidRDefault="00407C2E" w:rsidP="00407C2E">
            <w:pPr>
              <w:jc w:val="center"/>
              <w:rPr>
                <w:sz w:val="20"/>
                <w:szCs w:val="20"/>
              </w:rPr>
            </w:pPr>
          </w:p>
        </w:tc>
        <w:tc>
          <w:tcPr>
            <w:tcW w:w="571"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25</w:t>
            </w: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0"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Trichloroethylene</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1</w:t>
            </w:r>
          </w:p>
        </w:tc>
        <w:tc>
          <w:tcPr>
            <w:tcW w:w="567"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100%</w:t>
            </w:r>
          </w:p>
        </w:tc>
        <w:tc>
          <w:tcPr>
            <w:tcW w:w="571"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0"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Xylene - all isomers</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5</w:t>
            </w:r>
          </w:p>
        </w:tc>
        <w:tc>
          <w:tcPr>
            <w:tcW w:w="567"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84%</w:t>
            </w: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16%</w:t>
            </w:r>
          </w:p>
        </w:tc>
        <w:tc>
          <w:tcPr>
            <w:tcW w:w="571"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0"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sz w:val="20"/>
                <w:szCs w:val="20"/>
              </w:rPr>
            </w:pP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tcPr>
          <w:p w:rsidR="00407C2E" w:rsidRPr="00407C2E" w:rsidRDefault="00407C2E" w:rsidP="00407C2E">
            <w:pPr>
              <w:jc w:val="center"/>
              <w:rPr>
                <w:sz w:val="20"/>
                <w:szCs w:val="20"/>
              </w:rPr>
            </w:pPr>
          </w:p>
        </w:tc>
      </w:tr>
      <w:tr w:rsidR="002C4AD6" w:rsidRPr="00407C2E" w:rsidTr="002C4AD6">
        <w:trPr>
          <w:gridAfter w:val="1"/>
          <w:wAfter w:w="18" w:type="dxa"/>
          <w:trHeight w:val="300"/>
        </w:trPr>
        <w:tc>
          <w:tcPr>
            <w:cnfStyle w:val="001000000000" w:firstRow="0" w:lastRow="0" w:firstColumn="1" w:lastColumn="0" w:oddVBand="0" w:evenVBand="0" w:oddHBand="0" w:evenHBand="0" w:firstRowFirstColumn="0" w:firstRowLastColumn="0" w:lastRowFirstColumn="0" w:lastRowLastColumn="0"/>
            <w:tcW w:w="3097" w:type="dxa"/>
            <w:noWrap/>
          </w:tcPr>
          <w:p w:rsidR="00407C2E" w:rsidRPr="00407C2E" w:rsidRDefault="00407C2E" w:rsidP="00407C2E">
            <w:pPr>
              <w:rPr>
                <w:rFonts w:ascii="Calibri" w:hAnsi="Calibri"/>
                <w:b w:val="0"/>
                <w:color w:val="000000"/>
                <w:sz w:val="20"/>
                <w:szCs w:val="20"/>
              </w:rPr>
            </w:pPr>
            <w:r w:rsidRPr="00407C2E">
              <w:rPr>
                <w:rFonts w:ascii="Calibri" w:hAnsi="Calibri"/>
                <w:b w:val="0"/>
                <w:color w:val="000000"/>
                <w:sz w:val="20"/>
                <w:szCs w:val="20"/>
              </w:rPr>
              <w:t>Zinc</w:t>
            </w:r>
          </w:p>
        </w:tc>
        <w:tc>
          <w:tcPr>
            <w:cnfStyle w:val="000010000000" w:firstRow="0" w:lastRow="0" w:firstColumn="0" w:lastColumn="0" w:oddVBand="1" w:evenVBand="0" w:oddHBand="0" w:evenHBand="0" w:firstRowFirstColumn="0" w:firstRowLastColumn="0" w:lastRowFirstColumn="0" w:lastRowLastColumn="0"/>
            <w:tcW w:w="657" w:type="dxa"/>
            <w:shd w:val="clear" w:color="auto" w:fill="auto"/>
            <w:noWrap/>
            <w:vAlign w:val="center"/>
          </w:tcPr>
          <w:p w:rsidR="00407C2E" w:rsidRPr="006F0F3B" w:rsidRDefault="00407C2E" w:rsidP="00407C2E">
            <w:pPr>
              <w:jc w:val="center"/>
              <w:rPr>
                <w:rFonts w:ascii="Calibri" w:hAnsi="Calibri"/>
                <w:b/>
                <w:color w:val="000000"/>
                <w:sz w:val="20"/>
                <w:szCs w:val="20"/>
              </w:rPr>
            </w:pPr>
            <w:r w:rsidRPr="006F0F3B">
              <w:rPr>
                <w:rFonts w:ascii="Calibri" w:hAnsi="Calibri"/>
                <w:b/>
                <w:color w:val="000000"/>
                <w:sz w:val="20"/>
                <w:szCs w:val="20"/>
              </w:rPr>
              <w:t>208</w:t>
            </w:r>
          </w:p>
        </w:tc>
        <w:tc>
          <w:tcPr>
            <w:tcW w:w="567"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1%</w:t>
            </w: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3"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2%</w:t>
            </w:r>
          </w:p>
        </w:tc>
        <w:tc>
          <w:tcPr>
            <w:tcW w:w="571"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60</w:t>
            </w: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47%</w:t>
            </w:r>
          </w:p>
        </w:tc>
        <w:tc>
          <w:tcPr>
            <w:tcW w:w="570"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74" w:type="dxa"/>
            <w:shd w:val="clear" w:color="auto" w:fill="auto"/>
            <w:noWrap/>
            <w:vAlign w:val="center"/>
          </w:tcPr>
          <w:p w:rsidR="00407C2E" w:rsidRPr="00407C2E" w:rsidRDefault="00407C2E" w:rsidP="00407C2E">
            <w:pPr>
              <w:jc w:val="center"/>
              <w:rPr>
                <w:sz w:val="20"/>
                <w:szCs w:val="20"/>
              </w:rPr>
            </w:pPr>
          </w:p>
        </w:tc>
        <w:tc>
          <w:tcPr>
            <w:tcW w:w="570" w:type="dxa"/>
            <w:shd w:val="clear" w:color="auto" w:fill="F2F2F2" w:themeFill="background1" w:themeFillShade="F2"/>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142</w:t>
            </w:r>
          </w:p>
        </w:tc>
        <w:tc>
          <w:tcPr>
            <w:cnfStyle w:val="000010000000" w:firstRow="0" w:lastRow="0" w:firstColumn="0" w:lastColumn="0" w:oddVBand="1" w:evenVBand="0" w:oddHBand="0" w:evenHBand="0" w:firstRowFirstColumn="0" w:firstRowLastColumn="0" w:lastRowFirstColumn="0" w:lastRowLastColumn="0"/>
            <w:tcW w:w="574" w:type="dxa"/>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45%</w:t>
            </w:r>
          </w:p>
        </w:tc>
        <w:tc>
          <w:tcPr>
            <w:tcW w:w="571" w:type="dxa"/>
            <w:shd w:val="clear" w:color="auto" w:fill="auto"/>
            <w:noWrap/>
            <w:vAlign w:val="center"/>
          </w:tcPr>
          <w:p w:rsidR="00407C2E" w:rsidRPr="00407C2E" w:rsidRDefault="00407C2E" w:rsidP="00407C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07C2E">
              <w:rPr>
                <w:rFonts w:ascii="Calibri" w:hAnsi="Calibri"/>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noWrap/>
            <w:vAlign w:val="center"/>
          </w:tcPr>
          <w:p w:rsidR="00407C2E" w:rsidRPr="00407C2E" w:rsidRDefault="00407C2E" w:rsidP="00407C2E">
            <w:pPr>
              <w:jc w:val="center"/>
              <w:rPr>
                <w:rFonts w:ascii="Calibri" w:hAnsi="Calibri"/>
                <w:color w:val="000000"/>
                <w:sz w:val="20"/>
                <w:szCs w:val="20"/>
              </w:rPr>
            </w:pPr>
            <w:r w:rsidRPr="00407C2E">
              <w:rPr>
                <w:rFonts w:ascii="Calibri" w:hAnsi="Calibri"/>
                <w:color w:val="000000"/>
                <w:sz w:val="20"/>
                <w:szCs w:val="20"/>
              </w:rPr>
              <w:t>6%</w:t>
            </w:r>
          </w:p>
        </w:tc>
      </w:tr>
    </w:tbl>
    <w:p w:rsidR="00682428" w:rsidRDefault="00682428" w:rsidP="00D151FF">
      <w:pPr>
        <w:pStyle w:val="Heading4"/>
      </w:pPr>
    </w:p>
    <w:p w:rsidR="00D151FF" w:rsidRDefault="00D151FF" w:rsidP="00682428">
      <w:pPr>
        <w:pStyle w:val="Heading4"/>
      </w:pPr>
      <w:r>
        <w:t>Waste transfers</w:t>
      </w:r>
    </w:p>
    <w:p w:rsidR="00682428" w:rsidRDefault="00682428" w:rsidP="004B1043"/>
    <w:p w:rsidR="004B1043" w:rsidRPr="00E1501B" w:rsidRDefault="004B1043" w:rsidP="004B1043">
      <w:pPr>
        <w:rPr>
          <w:i/>
        </w:rPr>
      </w:pPr>
      <w:r w:rsidRPr="00E1501B">
        <w:rPr>
          <w:i/>
        </w:rPr>
        <w:t xml:space="preserve">Table </w:t>
      </w:r>
      <w:r w:rsidR="004C66F0">
        <w:rPr>
          <w:i/>
        </w:rPr>
        <w:t>5</w:t>
      </w:r>
      <w:r w:rsidRPr="00E1501B">
        <w:rPr>
          <w:i/>
        </w:rPr>
        <w:t xml:space="preserve">: </w:t>
      </w:r>
      <w:proofErr w:type="spellStart"/>
      <w:r w:rsidRPr="00E1501B">
        <w:rPr>
          <w:i/>
        </w:rPr>
        <w:t>Off site</w:t>
      </w:r>
      <w:proofErr w:type="spellEnd"/>
      <w:r w:rsidRPr="00E1501B">
        <w:rPr>
          <w:i/>
        </w:rPr>
        <w:t xml:space="preserve"> waste transfers by industry sector and type</w:t>
      </w:r>
      <w:r w:rsidR="00E1501B" w:rsidRPr="00E1501B">
        <w:rPr>
          <w:i/>
        </w:rPr>
        <w:t xml:space="preserve"> for 2019</w:t>
      </w:r>
      <w:r w:rsidRPr="00E1501B">
        <w:rPr>
          <w:i/>
        </w:rPr>
        <w:t>. All values are tonnes.</w:t>
      </w:r>
    </w:p>
    <w:tbl>
      <w:tblPr>
        <w:tblStyle w:val="PlainTable1"/>
        <w:tblW w:w="0" w:type="auto"/>
        <w:tblLayout w:type="fixed"/>
        <w:tblLook w:val="04A0" w:firstRow="1" w:lastRow="0" w:firstColumn="1" w:lastColumn="0" w:noHBand="0" w:noVBand="1"/>
      </w:tblPr>
      <w:tblGrid>
        <w:gridCol w:w="4754"/>
        <w:gridCol w:w="1425"/>
        <w:gridCol w:w="1426"/>
        <w:gridCol w:w="1425"/>
        <w:gridCol w:w="1426"/>
      </w:tblGrid>
      <w:tr w:rsidR="002F0414" w:rsidRPr="00406651" w:rsidTr="002F04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4" w:type="dxa"/>
            <w:vMerge w:val="restart"/>
            <w:noWrap/>
          </w:tcPr>
          <w:p w:rsidR="002F0414" w:rsidRPr="00406651" w:rsidRDefault="002F0414" w:rsidP="00D55EA4">
            <w:pPr>
              <w:rPr>
                <w:b w:val="0"/>
              </w:rPr>
            </w:pPr>
            <w:r>
              <w:rPr>
                <w:b w:val="0"/>
              </w:rPr>
              <w:t>Industry sector</w:t>
            </w:r>
          </w:p>
        </w:tc>
        <w:tc>
          <w:tcPr>
            <w:tcW w:w="2851" w:type="dxa"/>
            <w:gridSpan w:val="2"/>
            <w:noWrap/>
            <w:hideMark/>
          </w:tcPr>
          <w:p w:rsidR="002F0414" w:rsidRPr="00406651" w:rsidRDefault="002F0414" w:rsidP="002F0414">
            <w:pPr>
              <w:jc w:val="center"/>
              <w:cnfStyle w:val="100000000000" w:firstRow="1" w:lastRow="0" w:firstColumn="0" w:lastColumn="0" w:oddVBand="0" w:evenVBand="0" w:oddHBand="0" w:evenHBand="0" w:firstRowFirstColumn="0" w:firstRowLastColumn="0" w:lastRowFirstColumn="0" w:lastRowLastColumn="0"/>
              <w:rPr>
                <w:b w:val="0"/>
              </w:rPr>
            </w:pPr>
            <w:r w:rsidRPr="00406651">
              <w:rPr>
                <w:b w:val="0"/>
              </w:rPr>
              <w:t>Hazardous Waste</w:t>
            </w:r>
          </w:p>
        </w:tc>
        <w:tc>
          <w:tcPr>
            <w:tcW w:w="2851" w:type="dxa"/>
            <w:gridSpan w:val="2"/>
            <w:noWrap/>
            <w:hideMark/>
          </w:tcPr>
          <w:p w:rsidR="002F0414" w:rsidRPr="00406651" w:rsidRDefault="002F0414" w:rsidP="002F0414">
            <w:pPr>
              <w:jc w:val="center"/>
              <w:cnfStyle w:val="100000000000" w:firstRow="1" w:lastRow="0" w:firstColumn="0" w:lastColumn="0" w:oddVBand="0" w:evenVBand="0" w:oddHBand="0" w:evenHBand="0" w:firstRowFirstColumn="0" w:firstRowLastColumn="0" w:lastRowFirstColumn="0" w:lastRowLastColumn="0"/>
              <w:rPr>
                <w:b w:val="0"/>
              </w:rPr>
            </w:pPr>
            <w:r w:rsidRPr="00406651">
              <w:rPr>
                <w:b w:val="0"/>
              </w:rPr>
              <w:t>Non-hazardous Waste</w:t>
            </w:r>
          </w:p>
        </w:tc>
      </w:tr>
      <w:tr w:rsidR="002F0414" w:rsidRPr="00406651" w:rsidTr="00A320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4" w:type="dxa"/>
            <w:vMerge/>
            <w:tcBorders>
              <w:bottom w:val="single" w:sz="4" w:space="0" w:color="auto"/>
            </w:tcBorders>
            <w:noWrap/>
          </w:tcPr>
          <w:p w:rsidR="002F0414" w:rsidRPr="00406651" w:rsidRDefault="002F0414" w:rsidP="00D55EA4">
            <w:pPr>
              <w:rPr>
                <w:b w:val="0"/>
              </w:rPr>
            </w:pPr>
          </w:p>
        </w:tc>
        <w:tc>
          <w:tcPr>
            <w:tcW w:w="1425" w:type="dxa"/>
            <w:tcBorders>
              <w:bottom w:val="single" w:sz="4" w:space="0" w:color="auto"/>
            </w:tcBorders>
            <w:noWrap/>
            <w:hideMark/>
          </w:tcPr>
          <w:p w:rsidR="002F0414" w:rsidRPr="00406651" w:rsidRDefault="002F0414" w:rsidP="002F0414">
            <w:pPr>
              <w:jc w:val="center"/>
              <w:cnfStyle w:val="000000100000" w:firstRow="0" w:lastRow="0" w:firstColumn="0" w:lastColumn="0" w:oddVBand="0" w:evenVBand="0" w:oddHBand="1" w:evenHBand="0" w:firstRowFirstColumn="0" w:firstRowLastColumn="0" w:lastRowFirstColumn="0" w:lastRowLastColumn="0"/>
            </w:pPr>
            <w:r w:rsidRPr="00406651">
              <w:t>Disposal</w:t>
            </w:r>
          </w:p>
        </w:tc>
        <w:tc>
          <w:tcPr>
            <w:tcW w:w="1426" w:type="dxa"/>
            <w:tcBorders>
              <w:bottom w:val="single" w:sz="4" w:space="0" w:color="auto"/>
            </w:tcBorders>
            <w:noWrap/>
            <w:hideMark/>
          </w:tcPr>
          <w:p w:rsidR="002F0414" w:rsidRPr="00406651" w:rsidRDefault="002F0414" w:rsidP="002F0414">
            <w:pPr>
              <w:jc w:val="center"/>
              <w:cnfStyle w:val="000000100000" w:firstRow="0" w:lastRow="0" w:firstColumn="0" w:lastColumn="0" w:oddVBand="0" w:evenVBand="0" w:oddHBand="1" w:evenHBand="0" w:firstRowFirstColumn="0" w:firstRowLastColumn="0" w:lastRowFirstColumn="0" w:lastRowLastColumn="0"/>
            </w:pPr>
            <w:r w:rsidRPr="00406651">
              <w:t>Recovery</w:t>
            </w:r>
          </w:p>
        </w:tc>
        <w:tc>
          <w:tcPr>
            <w:tcW w:w="1425" w:type="dxa"/>
            <w:tcBorders>
              <w:bottom w:val="single" w:sz="4" w:space="0" w:color="auto"/>
            </w:tcBorders>
            <w:noWrap/>
            <w:hideMark/>
          </w:tcPr>
          <w:p w:rsidR="002F0414" w:rsidRPr="00406651" w:rsidRDefault="002F0414" w:rsidP="002F0414">
            <w:pPr>
              <w:jc w:val="center"/>
              <w:cnfStyle w:val="000000100000" w:firstRow="0" w:lastRow="0" w:firstColumn="0" w:lastColumn="0" w:oddVBand="0" w:evenVBand="0" w:oddHBand="1" w:evenHBand="0" w:firstRowFirstColumn="0" w:firstRowLastColumn="0" w:lastRowFirstColumn="0" w:lastRowLastColumn="0"/>
            </w:pPr>
            <w:r w:rsidRPr="00406651">
              <w:t>Disposal</w:t>
            </w:r>
          </w:p>
        </w:tc>
        <w:tc>
          <w:tcPr>
            <w:tcW w:w="1426" w:type="dxa"/>
            <w:tcBorders>
              <w:bottom w:val="single" w:sz="4" w:space="0" w:color="auto"/>
            </w:tcBorders>
            <w:noWrap/>
            <w:hideMark/>
          </w:tcPr>
          <w:p w:rsidR="002F0414" w:rsidRPr="00406651" w:rsidRDefault="002F0414" w:rsidP="002F0414">
            <w:pPr>
              <w:jc w:val="center"/>
              <w:cnfStyle w:val="000000100000" w:firstRow="0" w:lastRow="0" w:firstColumn="0" w:lastColumn="0" w:oddVBand="0" w:evenVBand="0" w:oddHBand="1" w:evenHBand="0" w:firstRowFirstColumn="0" w:firstRowLastColumn="0" w:lastRowFirstColumn="0" w:lastRowLastColumn="0"/>
            </w:pPr>
            <w:r w:rsidRPr="00406651">
              <w:t>Recovery</w:t>
            </w:r>
          </w:p>
        </w:tc>
      </w:tr>
      <w:tr w:rsidR="004B1043" w:rsidRPr="00406651" w:rsidTr="00A32065">
        <w:trPr>
          <w:trHeight w:val="300"/>
        </w:trPr>
        <w:tc>
          <w:tcPr>
            <w:cnfStyle w:val="001000000000" w:firstRow="0" w:lastRow="0" w:firstColumn="1" w:lastColumn="0" w:oddVBand="0" w:evenVBand="0" w:oddHBand="0" w:evenHBand="0" w:firstRowFirstColumn="0" w:firstRowLastColumn="0" w:lastRowFirstColumn="0" w:lastRowLastColumn="0"/>
            <w:tcW w:w="4754" w:type="dxa"/>
            <w:tcBorders>
              <w:top w:val="single" w:sz="4" w:space="0" w:color="auto"/>
            </w:tcBorders>
            <w:hideMark/>
          </w:tcPr>
          <w:p w:rsidR="004B1043" w:rsidRPr="00406651" w:rsidRDefault="004B1043" w:rsidP="00D55EA4">
            <w:pPr>
              <w:rPr>
                <w:b w:val="0"/>
              </w:rPr>
            </w:pPr>
            <w:r w:rsidRPr="00406651">
              <w:rPr>
                <w:b w:val="0"/>
              </w:rPr>
              <w:t>1 - Energy sector</w:t>
            </w:r>
          </w:p>
        </w:tc>
        <w:tc>
          <w:tcPr>
            <w:tcW w:w="1425" w:type="dxa"/>
            <w:tcBorders>
              <w:top w:val="single" w:sz="4" w:space="0" w:color="auto"/>
            </w:tcBorders>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6,229</w:t>
            </w:r>
          </w:p>
        </w:tc>
        <w:tc>
          <w:tcPr>
            <w:tcW w:w="1426" w:type="dxa"/>
            <w:tcBorders>
              <w:top w:val="single" w:sz="4" w:space="0" w:color="auto"/>
            </w:tcBorders>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4,966</w:t>
            </w:r>
          </w:p>
        </w:tc>
        <w:tc>
          <w:tcPr>
            <w:tcW w:w="1425" w:type="dxa"/>
            <w:tcBorders>
              <w:top w:val="single" w:sz="4" w:space="0" w:color="auto"/>
            </w:tcBorders>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4,158</w:t>
            </w:r>
          </w:p>
        </w:tc>
        <w:tc>
          <w:tcPr>
            <w:tcW w:w="1426" w:type="dxa"/>
            <w:tcBorders>
              <w:top w:val="single" w:sz="4" w:space="0" w:color="auto"/>
            </w:tcBorders>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9,150</w:t>
            </w:r>
          </w:p>
        </w:tc>
      </w:tr>
      <w:tr w:rsidR="004B1043" w:rsidRPr="00406651" w:rsidTr="00D55E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4" w:type="dxa"/>
            <w:hideMark/>
          </w:tcPr>
          <w:p w:rsidR="004B1043" w:rsidRPr="00406651" w:rsidRDefault="004B1043" w:rsidP="00D55EA4">
            <w:pPr>
              <w:rPr>
                <w:b w:val="0"/>
              </w:rPr>
            </w:pPr>
            <w:r w:rsidRPr="00406651">
              <w:rPr>
                <w:b w:val="0"/>
              </w:rPr>
              <w:t>2 - Production and processing of metals</w:t>
            </w:r>
          </w:p>
        </w:tc>
        <w:tc>
          <w:tcPr>
            <w:tcW w:w="1425" w:type="dxa"/>
            <w:noWrap/>
            <w:hideMark/>
          </w:tcPr>
          <w:p w:rsidR="004B1043" w:rsidRPr="00406651" w:rsidRDefault="00F30DE1" w:rsidP="00D55EA4">
            <w:pPr>
              <w:jc w:val="right"/>
              <w:cnfStyle w:val="000000100000" w:firstRow="0" w:lastRow="0" w:firstColumn="0" w:lastColumn="0" w:oddVBand="0" w:evenVBand="0" w:oddHBand="1" w:evenHBand="0" w:firstRowFirstColumn="0" w:firstRowLastColumn="0" w:lastRowFirstColumn="0" w:lastRowLastColumn="0"/>
            </w:pPr>
            <w:r w:rsidRPr="00F30DE1">
              <w:t>1,919</w:t>
            </w:r>
          </w:p>
        </w:tc>
        <w:tc>
          <w:tcPr>
            <w:tcW w:w="1426"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2,266</w:t>
            </w:r>
          </w:p>
        </w:tc>
        <w:tc>
          <w:tcPr>
            <w:tcW w:w="1425"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p>
        </w:tc>
        <w:tc>
          <w:tcPr>
            <w:tcW w:w="1426"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5,747</w:t>
            </w:r>
          </w:p>
        </w:tc>
      </w:tr>
      <w:tr w:rsidR="004B1043" w:rsidRPr="00406651" w:rsidTr="00D55EA4">
        <w:trPr>
          <w:trHeight w:val="300"/>
        </w:trPr>
        <w:tc>
          <w:tcPr>
            <w:cnfStyle w:val="001000000000" w:firstRow="0" w:lastRow="0" w:firstColumn="1" w:lastColumn="0" w:oddVBand="0" w:evenVBand="0" w:oddHBand="0" w:evenHBand="0" w:firstRowFirstColumn="0" w:firstRowLastColumn="0" w:lastRowFirstColumn="0" w:lastRowLastColumn="0"/>
            <w:tcW w:w="4754" w:type="dxa"/>
            <w:hideMark/>
          </w:tcPr>
          <w:p w:rsidR="004B1043" w:rsidRPr="00406651" w:rsidRDefault="004B1043" w:rsidP="00D55EA4">
            <w:pPr>
              <w:rPr>
                <w:b w:val="0"/>
              </w:rPr>
            </w:pPr>
            <w:r w:rsidRPr="00406651">
              <w:rPr>
                <w:b w:val="0"/>
              </w:rPr>
              <w:t>3 - Mineral industry</w:t>
            </w:r>
          </w:p>
        </w:tc>
        <w:tc>
          <w:tcPr>
            <w:tcW w:w="1425"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479</w:t>
            </w:r>
          </w:p>
        </w:tc>
        <w:tc>
          <w:tcPr>
            <w:tcW w:w="1426"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59</w:t>
            </w:r>
          </w:p>
        </w:tc>
        <w:tc>
          <w:tcPr>
            <w:tcW w:w="1425"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190</w:t>
            </w:r>
          </w:p>
        </w:tc>
        <w:tc>
          <w:tcPr>
            <w:tcW w:w="1426"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4,333</w:t>
            </w:r>
          </w:p>
        </w:tc>
      </w:tr>
      <w:tr w:rsidR="004B1043" w:rsidRPr="00406651" w:rsidTr="00D55E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4" w:type="dxa"/>
            <w:hideMark/>
          </w:tcPr>
          <w:p w:rsidR="004B1043" w:rsidRPr="00406651" w:rsidRDefault="004B1043" w:rsidP="00D55EA4">
            <w:pPr>
              <w:rPr>
                <w:b w:val="0"/>
              </w:rPr>
            </w:pPr>
            <w:r w:rsidRPr="00406651">
              <w:rPr>
                <w:b w:val="0"/>
              </w:rPr>
              <w:t>4 - Chemical industry</w:t>
            </w:r>
          </w:p>
        </w:tc>
        <w:tc>
          <w:tcPr>
            <w:tcW w:w="1425"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243,072</w:t>
            </w:r>
          </w:p>
        </w:tc>
        <w:tc>
          <w:tcPr>
            <w:tcW w:w="1426"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74,511</w:t>
            </w:r>
          </w:p>
        </w:tc>
        <w:tc>
          <w:tcPr>
            <w:tcW w:w="1425"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6,990</w:t>
            </w:r>
          </w:p>
        </w:tc>
        <w:tc>
          <w:tcPr>
            <w:tcW w:w="1426"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9,747</w:t>
            </w:r>
          </w:p>
        </w:tc>
      </w:tr>
      <w:tr w:rsidR="004B1043" w:rsidRPr="00406651" w:rsidTr="00D55EA4">
        <w:trPr>
          <w:trHeight w:val="300"/>
        </w:trPr>
        <w:tc>
          <w:tcPr>
            <w:cnfStyle w:val="001000000000" w:firstRow="0" w:lastRow="0" w:firstColumn="1" w:lastColumn="0" w:oddVBand="0" w:evenVBand="0" w:oddHBand="0" w:evenHBand="0" w:firstRowFirstColumn="0" w:firstRowLastColumn="0" w:lastRowFirstColumn="0" w:lastRowLastColumn="0"/>
            <w:tcW w:w="4754" w:type="dxa"/>
            <w:hideMark/>
          </w:tcPr>
          <w:p w:rsidR="004B1043" w:rsidRPr="00406651" w:rsidRDefault="004B1043" w:rsidP="00D55EA4">
            <w:pPr>
              <w:rPr>
                <w:b w:val="0"/>
              </w:rPr>
            </w:pPr>
            <w:r w:rsidRPr="00406651">
              <w:rPr>
                <w:b w:val="0"/>
              </w:rPr>
              <w:t>6 - Paper and wood production and processing</w:t>
            </w:r>
          </w:p>
        </w:tc>
        <w:tc>
          <w:tcPr>
            <w:tcW w:w="1425"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7,590</w:t>
            </w:r>
          </w:p>
        </w:tc>
        <w:tc>
          <w:tcPr>
            <w:tcW w:w="1426"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2,340</w:t>
            </w:r>
          </w:p>
        </w:tc>
        <w:tc>
          <w:tcPr>
            <w:tcW w:w="1425"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2,986</w:t>
            </w:r>
          </w:p>
        </w:tc>
        <w:tc>
          <w:tcPr>
            <w:tcW w:w="1426"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14,487</w:t>
            </w:r>
          </w:p>
        </w:tc>
      </w:tr>
      <w:tr w:rsidR="004B1043" w:rsidRPr="00406651" w:rsidTr="00D55E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4" w:type="dxa"/>
            <w:hideMark/>
          </w:tcPr>
          <w:p w:rsidR="004B1043" w:rsidRPr="00406651" w:rsidRDefault="004B1043" w:rsidP="00D55EA4">
            <w:pPr>
              <w:rPr>
                <w:b w:val="0"/>
              </w:rPr>
            </w:pPr>
            <w:r w:rsidRPr="00406651">
              <w:rPr>
                <w:b w:val="0"/>
              </w:rPr>
              <w:t>7 - Intensive livestock production and aquaculture</w:t>
            </w:r>
          </w:p>
        </w:tc>
        <w:tc>
          <w:tcPr>
            <w:tcW w:w="1425"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6</w:t>
            </w:r>
          </w:p>
        </w:tc>
        <w:tc>
          <w:tcPr>
            <w:tcW w:w="1426"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p>
        </w:tc>
        <w:tc>
          <w:tcPr>
            <w:tcW w:w="1425"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4,051</w:t>
            </w:r>
          </w:p>
        </w:tc>
        <w:tc>
          <w:tcPr>
            <w:tcW w:w="1426"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49,501</w:t>
            </w:r>
          </w:p>
        </w:tc>
      </w:tr>
      <w:tr w:rsidR="004B1043" w:rsidRPr="00406651" w:rsidTr="00D55EA4">
        <w:trPr>
          <w:trHeight w:val="600"/>
        </w:trPr>
        <w:tc>
          <w:tcPr>
            <w:cnfStyle w:val="001000000000" w:firstRow="0" w:lastRow="0" w:firstColumn="1" w:lastColumn="0" w:oddVBand="0" w:evenVBand="0" w:oddHBand="0" w:evenHBand="0" w:firstRowFirstColumn="0" w:firstRowLastColumn="0" w:lastRowFirstColumn="0" w:lastRowLastColumn="0"/>
            <w:tcW w:w="4754" w:type="dxa"/>
            <w:hideMark/>
          </w:tcPr>
          <w:p w:rsidR="004B1043" w:rsidRPr="00406651" w:rsidRDefault="004B1043" w:rsidP="00D55EA4">
            <w:pPr>
              <w:rPr>
                <w:b w:val="0"/>
              </w:rPr>
            </w:pPr>
            <w:r w:rsidRPr="00406651">
              <w:rPr>
                <w:b w:val="0"/>
              </w:rPr>
              <w:t>8 - Animal and vegetable products from the food and beverage sector</w:t>
            </w:r>
          </w:p>
        </w:tc>
        <w:tc>
          <w:tcPr>
            <w:tcW w:w="1425"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4,070</w:t>
            </w:r>
          </w:p>
        </w:tc>
        <w:tc>
          <w:tcPr>
            <w:tcW w:w="1426"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30</w:t>
            </w:r>
          </w:p>
        </w:tc>
        <w:tc>
          <w:tcPr>
            <w:tcW w:w="1425"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78,246</w:t>
            </w:r>
          </w:p>
        </w:tc>
        <w:tc>
          <w:tcPr>
            <w:tcW w:w="1426" w:type="dxa"/>
            <w:noWrap/>
            <w:hideMark/>
          </w:tcPr>
          <w:p w:rsidR="004B1043" w:rsidRPr="00406651" w:rsidRDefault="004B1043" w:rsidP="00D55EA4">
            <w:pPr>
              <w:jc w:val="right"/>
              <w:cnfStyle w:val="000000000000" w:firstRow="0" w:lastRow="0" w:firstColumn="0" w:lastColumn="0" w:oddVBand="0" w:evenVBand="0" w:oddHBand="0" w:evenHBand="0" w:firstRowFirstColumn="0" w:firstRowLastColumn="0" w:lastRowFirstColumn="0" w:lastRowLastColumn="0"/>
            </w:pPr>
            <w:r w:rsidRPr="00406651">
              <w:t>76,456</w:t>
            </w:r>
          </w:p>
        </w:tc>
      </w:tr>
      <w:tr w:rsidR="004B1043" w:rsidRPr="00406651" w:rsidTr="00D55E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4" w:type="dxa"/>
            <w:hideMark/>
          </w:tcPr>
          <w:p w:rsidR="004B1043" w:rsidRPr="00406651" w:rsidRDefault="004B1043" w:rsidP="00D55EA4">
            <w:pPr>
              <w:rPr>
                <w:b w:val="0"/>
              </w:rPr>
            </w:pPr>
            <w:r w:rsidRPr="00406651">
              <w:rPr>
                <w:b w:val="0"/>
              </w:rPr>
              <w:t>9 - Other activities</w:t>
            </w:r>
          </w:p>
        </w:tc>
        <w:tc>
          <w:tcPr>
            <w:tcW w:w="1425" w:type="dxa"/>
            <w:noWrap/>
            <w:hideMark/>
          </w:tcPr>
          <w:p w:rsidR="004B1043" w:rsidRPr="00406651" w:rsidRDefault="00F30DE1" w:rsidP="00D55EA4">
            <w:pPr>
              <w:jc w:val="right"/>
              <w:cnfStyle w:val="000000100000" w:firstRow="0" w:lastRow="0" w:firstColumn="0" w:lastColumn="0" w:oddVBand="0" w:evenVBand="0" w:oddHBand="1" w:evenHBand="0" w:firstRowFirstColumn="0" w:firstRowLastColumn="0" w:lastRowFirstColumn="0" w:lastRowLastColumn="0"/>
            </w:pPr>
            <w:r w:rsidRPr="00F30DE1">
              <w:t>22,508</w:t>
            </w:r>
          </w:p>
        </w:tc>
        <w:tc>
          <w:tcPr>
            <w:tcW w:w="1426" w:type="dxa"/>
            <w:noWrap/>
            <w:hideMark/>
          </w:tcPr>
          <w:p w:rsidR="004B1043" w:rsidRPr="00406651" w:rsidRDefault="00F30DE1" w:rsidP="00D55EA4">
            <w:pPr>
              <w:jc w:val="right"/>
              <w:cnfStyle w:val="000000100000" w:firstRow="0" w:lastRow="0" w:firstColumn="0" w:lastColumn="0" w:oddVBand="0" w:evenVBand="0" w:oddHBand="1" w:evenHBand="0" w:firstRowFirstColumn="0" w:firstRowLastColumn="0" w:lastRowFirstColumn="0" w:lastRowLastColumn="0"/>
            </w:pPr>
            <w:r w:rsidRPr="00F30DE1">
              <w:t>3,355</w:t>
            </w:r>
          </w:p>
        </w:tc>
        <w:tc>
          <w:tcPr>
            <w:tcW w:w="1425"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15,488</w:t>
            </w:r>
          </w:p>
        </w:tc>
        <w:tc>
          <w:tcPr>
            <w:tcW w:w="1426" w:type="dxa"/>
            <w:noWrap/>
            <w:hideMark/>
          </w:tcPr>
          <w:p w:rsidR="004B1043" w:rsidRPr="00406651" w:rsidRDefault="004B1043" w:rsidP="00D55EA4">
            <w:pPr>
              <w:jc w:val="right"/>
              <w:cnfStyle w:val="000000100000" w:firstRow="0" w:lastRow="0" w:firstColumn="0" w:lastColumn="0" w:oddVBand="0" w:evenVBand="0" w:oddHBand="1" w:evenHBand="0" w:firstRowFirstColumn="0" w:firstRowLastColumn="0" w:lastRowFirstColumn="0" w:lastRowLastColumn="0"/>
            </w:pPr>
            <w:r w:rsidRPr="00406651">
              <w:t>13,962</w:t>
            </w:r>
          </w:p>
        </w:tc>
      </w:tr>
      <w:tr w:rsidR="004B1043" w:rsidRPr="00406651" w:rsidTr="00D55EA4">
        <w:trPr>
          <w:trHeight w:val="300"/>
        </w:trPr>
        <w:tc>
          <w:tcPr>
            <w:cnfStyle w:val="001000000000" w:firstRow="0" w:lastRow="0" w:firstColumn="1" w:lastColumn="0" w:oddVBand="0" w:evenVBand="0" w:oddHBand="0" w:evenHBand="0" w:firstRowFirstColumn="0" w:firstRowLastColumn="0" w:lastRowFirstColumn="0" w:lastRowLastColumn="0"/>
            <w:tcW w:w="4754" w:type="dxa"/>
            <w:noWrap/>
            <w:hideMark/>
          </w:tcPr>
          <w:p w:rsidR="004B1043" w:rsidRPr="00A32065" w:rsidRDefault="004B1043" w:rsidP="00D55EA4">
            <w:r w:rsidRPr="00A32065">
              <w:t xml:space="preserve">Total </w:t>
            </w:r>
          </w:p>
        </w:tc>
        <w:tc>
          <w:tcPr>
            <w:tcW w:w="1425" w:type="dxa"/>
            <w:noWrap/>
            <w:hideMark/>
          </w:tcPr>
          <w:p w:rsidR="004B1043" w:rsidRPr="00A32065" w:rsidRDefault="00F30DE1" w:rsidP="00D55EA4">
            <w:pPr>
              <w:jc w:val="right"/>
              <w:cnfStyle w:val="000000000000" w:firstRow="0" w:lastRow="0" w:firstColumn="0" w:lastColumn="0" w:oddVBand="0" w:evenVBand="0" w:oddHBand="0" w:evenHBand="0" w:firstRowFirstColumn="0" w:firstRowLastColumn="0" w:lastRowFirstColumn="0" w:lastRowLastColumn="0"/>
              <w:rPr>
                <w:b/>
              </w:rPr>
            </w:pPr>
            <w:r w:rsidRPr="00A32065">
              <w:rPr>
                <w:b/>
              </w:rPr>
              <w:t>285,873</w:t>
            </w:r>
          </w:p>
        </w:tc>
        <w:tc>
          <w:tcPr>
            <w:tcW w:w="1426" w:type="dxa"/>
            <w:noWrap/>
            <w:hideMark/>
          </w:tcPr>
          <w:p w:rsidR="004B1043" w:rsidRPr="00A32065" w:rsidRDefault="00F30DE1" w:rsidP="00D55EA4">
            <w:pPr>
              <w:jc w:val="right"/>
              <w:cnfStyle w:val="000000000000" w:firstRow="0" w:lastRow="0" w:firstColumn="0" w:lastColumn="0" w:oddVBand="0" w:evenVBand="0" w:oddHBand="0" w:evenHBand="0" w:firstRowFirstColumn="0" w:firstRowLastColumn="0" w:lastRowFirstColumn="0" w:lastRowLastColumn="0"/>
              <w:rPr>
                <w:b/>
              </w:rPr>
            </w:pPr>
            <w:r w:rsidRPr="00A32065">
              <w:rPr>
                <w:b/>
              </w:rPr>
              <w:t>87,527</w:t>
            </w:r>
          </w:p>
        </w:tc>
        <w:tc>
          <w:tcPr>
            <w:tcW w:w="1425" w:type="dxa"/>
            <w:noWrap/>
            <w:hideMark/>
          </w:tcPr>
          <w:p w:rsidR="004B1043" w:rsidRPr="00A32065" w:rsidRDefault="004B1043" w:rsidP="00D55EA4">
            <w:pPr>
              <w:jc w:val="right"/>
              <w:cnfStyle w:val="000000000000" w:firstRow="0" w:lastRow="0" w:firstColumn="0" w:lastColumn="0" w:oddVBand="0" w:evenVBand="0" w:oddHBand="0" w:evenHBand="0" w:firstRowFirstColumn="0" w:firstRowLastColumn="0" w:lastRowFirstColumn="0" w:lastRowLastColumn="0"/>
              <w:rPr>
                <w:b/>
              </w:rPr>
            </w:pPr>
            <w:r w:rsidRPr="00A32065">
              <w:rPr>
                <w:b/>
              </w:rPr>
              <w:t>112,109</w:t>
            </w:r>
          </w:p>
        </w:tc>
        <w:tc>
          <w:tcPr>
            <w:tcW w:w="1426" w:type="dxa"/>
            <w:noWrap/>
            <w:hideMark/>
          </w:tcPr>
          <w:p w:rsidR="004B1043" w:rsidRPr="00A32065" w:rsidRDefault="004B1043" w:rsidP="00D55EA4">
            <w:pPr>
              <w:jc w:val="right"/>
              <w:cnfStyle w:val="000000000000" w:firstRow="0" w:lastRow="0" w:firstColumn="0" w:lastColumn="0" w:oddVBand="0" w:evenVBand="0" w:oddHBand="0" w:evenHBand="0" w:firstRowFirstColumn="0" w:firstRowLastColumn="0" w:lastRowFirstColumn="0" w:lastRowLastColumn="0"/>
              <w:rPr>
                <w:b/>
              </w:rPr>
            </w:pPr>
            <w:r w:rsidRPr="00A32065">
              <w:rPr>
                <w:b/>
              </w:rPr>
              <w:t>183,383</w:t>
            </w:r>
          </w:p>
        </w:tc>
      </w:tr>
    </w:tbl>
    <w:p w:rsidR="004B1043" w:rsidRPr="004B1043" w:rsidRDefault="002D5F09" w:rsidP="004B1043">
      <w:pPr>
        <w:spacing w:after="0"/>
        <w:rPr>
          <w:sz w:val="20"/>
        </w:rPr>
      </w:pPr>
      <w:r>
        <w:rPr>
          <w:sz w:val="20"/>
        </w:rPr>
        <w:t>Note</w:t>
      </w:r>
      <w:r w:rsidR="004B1043" w:rsidRPr="004B1043">
        <w:rPr>
          <w:sz w:val="20"/>
        </w:rPr>
        <w:t>:</w:t>
      </w:r>
    </w:p>
    <w:p w:rsidR="004B1043" w:rsidRPr="004B1043" w:rsidRDefault="002D5F09" w:rsidP="004B1043">
      <w:pPr>
        <w:spacing w:after="0"/>
        <w:rPr>
          <w:sz w:val="20"/>
        </w:rPr>
      </w:pPr>
      <w:r>
        <w:rPr>
          <w:sz w:val="20"/>
        </w:rPr>
        <w:t>1</w:t>
      </w:r>
      <w:r w:rsidR="004B1043" w:rsidRPr="004B1043">
        <w:rPr>
          <w:sz w:val="20"/>
        </w:rPr>
        <w:t xml:space="preserve">. </w:t>
      </w:r>
      <w:r w:rsidR="000B3A8C">
        <w:rPr>
          <w:sz w:val="20"/>
        </w:rPr>
        <w:t>Excludes waste transferred by</w:t>
      </w:r>
      <w:r w:rsidR="004B1043" w:rsidRPr="004B1043">
        <w:rPr>
          <w:sz w:val="20"/>
        </w:rPr>
        <w:t xml:space="preserve"> industry sector </w:t>
      </w:r>
      <w:r w:rsidR="004B1043" w:rsidRPr="0012046A">
        <w:rPr>
          <w:i/>
          <w:sz w:val="20"/>
        </w:rPr>
        <w:t>5 - Waste and waste-water management</w:t>
      </w:r>
      <w:r w:rsidR="004B1043" w:rsidRPr="004B1043">
        <w:rPr>
          <w:sz w:val="20"/>
        </w:rPr>
        <w:t>, as this is reported elsewhere.</w:t>
      </w:r>
      <w:r w:rsidR="00D63249" w:rsidRPr="00D63249">
        <w:t xml:space="preserve"> </w:t>
      </w:r>
      <w:hyperlink r:id="rId13" w:history="1">
        <w:r w:rsidR="00D63249" w:rsidRPr="00912052">
          <w:rPr>
            <w:rStyle w:val="Hyperlink"/>
            <w:sz w:val="20"/>
          </w:rPr>
          <w:t>https://www.sepa.org.uk/environment/waste/waste-data/waste-data-reporting/waste-data-for-scotland/</w:t>
        </w:r>
      </w:hyperlink>
      <w:r w:rsidR="00D63249">
        <w:rPr>
          <w:sz w:val="20"/>
        </w:rPr>
        <w:t xml:space="preserve"> </w:t>
      </w:r>
    </w:p>
    <w:p w:rsidR="00BE4C8C" w:rsidRPr="006C53AC" w:rsidRDefault="00BE4C8C" w:rsidP="00BE4C8C">
      <w:pPr>
        <w:pStyle w:val="NoSpacing"/>
        <w:rPr>
          <w:sz w:val="20"/>
        </w:rPr>
      </w:pPr>
      <w:r w:rsidRPr="006C53AC">
        <w:rPr>
          <w:sz w:val="20"/>
        </w:rPr>
        <w:t>2. The thresholds for reporting off-site waste transfers are 2 tonnes for hazardous and 2,000 tonnes for non-hazardous. No “BRT” report is necessary as it is assumed all sites will produce some waste.</w:t>
      </w:r>
    </w:p>
    <w:p w:rsidR="00C1431F" w:rsidRDefault="00BE4C8C" w:rsidP="00BE4C8C">
      <w:pPr>
        <w:pStyle w:val="NoSpacing"/>
        <w:rPr>
          <w:rFonts w:eastAsiaTheme="majorEastAsia" w:cstheme="majorBidi"/>
          <w:b/>
          <w:sz w:val="24"/>
          <w:szCs w:val="24"/>
        </w:rPr>
      </w:pPr>
      <w:r w:rsidRPr="00C0626E">
        <w:rPr>
          <w:sz w:val="20"/>
        </w:rPr>
        <w:t>3</w:t>
      </w:r>
      <w:r w:rsidR="009808A5" w:rsidRPr="00C0626E">
        <w:rPr>
          <w:sz w:val="20"/>
        </w:rPr>
        <w:t xml:space="preserve">. </w:t>
      </w:r>
      <w:r w:rsidR="00513854" w:rsidRPr="00C0626E">
        <w:rPr>
          <w:sz w:val="20"/>
        </w:rPr>
        <w:t xml:space="preserve">“Disposal” </w:t>
      </w:r>
      <w:r w:rsidR="00C0626E" w:rsidRPr="00C0626E">
        <w:rPr>
          <w:sz w:val="20"/>
        </w:rPr>
        <w:t xml:space="preserve">and </w:t>
      </w:r>
      <w:r w:rsidR="00513854" w:rsidRPr="00C0626E">
        <w:rPr>
          <w:sz w:val="20"/>
        </w:rPr>
        <w:t xml:space="preserve">“Recovery” </w:t>
      </w:r>
      <w:r w:rsidR="00513854">
        <w:rPr>
          <w:sz w:val="20"/>
        </w:rPr>
        <w:t xml:space="preserve">mean any of the operations provided for in Annex IIA and Annex IIB of </w:t>
      </w:r>
      <w:hyperlink r:id="rId14" w:history="1">
        <w:r w:rsidR="00513854" w:rsidRPr="00513854">
          <w:rPr>
            <w:rStyle w:val="Hyperlink"/>
            <w:sz w:val="20"/>
          </w:rPr>
          <w:t>EU Waste Directive 2006/12/EC</w:t>
        </w:r>
      </w:hyperlink>
      <w:r w:rsidR="00C1431F">
        <w:br w:type="page"/>
      </w:r>
    </w:p>
    <w:p w:rsidR="00EB1176" w:rsidRPr="00A738A6" w:rsidRDefault="00EB1176" w:rsidP="00EB1176">
      <w:pPr>
        <w:pStyle w:val="Heading3"/>
      </w:pPr>
      <w:bookmarkStart w:id="8" w:name="_Toc51591146"/>
      <w:r w:rsidRPr="00A738A6">
        <w:lastRenderedPageBreak/>
        <w:t>1.3 Greenhouse gas emissions</w:t>
      </w:r>
      <w:bookmarkEnd w:id="8"/>
    </w:p>
    <w:p w:rsidR="00EB1176" w:rsidRDefault="00EB1176" w:rsidP="00EB1176">
      <w:pPr>
        <w:spacing w:after="0"/>
      </w:pPr>
    </w:p>
    <w:p w:rsidR="00EB1176" w:rsidRDefault="00EB1176" w:rsidP="00EB1176">
      <w:r>
        <w:t xml:space="preserve">Emissions of four individual greenhouse gases, and two groups of greenhouse gases are reportable to SPRI. </w:t>
      </w:r>
    </w:p>
    <w:p w:rsidR="00EB1176" w:rsidRDefault="00EB1176" w:rsidP="00EB1176">
      <w:r>
        <w:t>Three of these are “</w:t>
      </w:r>
      <w:r w:rsidRPr="00A506BC">
        <w:t>Fluorinated greenhouse gases</w:t>
      </w:r>
      <w:r>
        <w:t>” or “</w:t>
      </w:r>
      <w:r w:rsidRPr="00A506BC">
        <w:t>F</w:t>
      </w:r>
      <w:r>
        <w:t>-gases”;</w:t>
      </w:r>
      <w:r w:rsidRPr="00A506BC">
        <w:t xml:space="preserve"> a family of chemicals that contain fluorine </w:t>
      </w:r>
      <w:r>
        <w:t>which</w:t>
      </w:r>
      <w:r w:rsidRPr="00A506BC">
        <w:t xml:space="preserve"> are also powerful greenhouse gases that contribute to climate change. The EU has regulation on the use of F</w:t>
      </w:r>
      <w:r>
        <w:t>-g</w:t>
      </w:r>
      <w:r w:rsidRPr="00A506BC">
        <w:t>ases like hydrofluorocarbons</w:t>
      </w:r>
      <w:r>
        <w:t xml:space="preserve"> </w:t>
      </w:r>
      <w:r w:rsidRPr="00A506BC">
        <w:t>(HFCs), perfluorocarbons (PFCs) and sulphur hexafluoride (SF6).</w:t>
      </w:r>
      <w:r w:rsidRPr="000D35D4">
        <w:t xml:space="preserve"> Note that the Kyoto “basket” of greenhouse gases includes nitrogen </w:t>
      </w:r>
      <w:proofErr w:type="spellStart"/>
      <w:r w:rsidRPr="000D35D4">
        <w:t>trifluoride</w:t>
      </w:r>
      <w:proofErr w:type="spellEnd"/>
      <w:r w:rsidRPr="000D35D4">
        <w:t xml:space="preserve"> (an F-gas) which is not reportable to SPRI.</w:t>
      </w:r>
    </w:p>
    <w:tbl>
      <w:tblPr>
        <w:tblStyle w:val="PlainTabl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1980"/>
        <w:gridCol w:w="2835"/>
        <w:gridCol w:w="1417"/>
      </w:tblGrid>
      <w:tr w:rsidR="00EB1176" w:rsidRPr="003D780D" w:rsidTr="007F3CE8">
        <w:trPr>
          <w:cnfStyle w:val="000000100000" w:firstRow="0" w:lastRow="0" w:firstColumn="0" w:lastColumn="0" w:oddVBand="0" w:evenVBand="0" w:oddHBand="1" w:evenHBand="0" w:firstRowFirstColumn="0" w:firstRowLastColumn="0" w:lastRowFirstColumn="0" w:lastRowLastColumn="0"/>
          <w:jc w:val="center"/>
        </w:trPr>
        <w:tc>
          <w:tcPr>
            <w:tcW w:w="1980" w:type="dxa"/>
            <w:tcBorders>
              <w:top w:val="single" w:sz="4" w:space="0" w:color="auto"/>
              <w:left w:val="single" w:sz="4" w:space="0" w:color="auto"/>
            </w:tcBorders>
            <w:shd w:val="clear" w:color="auto" w:fill="auto"/>
          </w:tcPr>
          <w:p w:rsidR="00EB1176" w:rsidRPr="003D780D" w:rsidRDefault="00EB1176" w:rsidP="007F3CE8">
            <w:r>
              <w:t>Individual gases</w:t>
            </w:r>
          </w:p>
        </w:tc>
        <w:tc>
          <w:tcPr>
            <w:tcW w:w="2835" w:type="dxa"/>
            <w:tcBorders>
              <w:top w:val="single" w:sz="4" w:space="0" w:color="auto"/>
              <w:right w:val="single" w:sz="4" w:space="0" w:color="auto"/>
            </w:tcBorders>
            <w:shd w:val="clear" w:color="auto" w:fill="auto"/>
          </w:tcPr>
          <w:p w:rsidR="00EB1176" w:rsidRPr="003D780D" w:rsidRDefault="00EB1176" w:rsidP="007F3CE8">
            <w:r w:rsidRPr="003D780D">
              <w:t>Carbon dioxide</w:t>
            </w:r>
          </w:p>
        </w:tc>
        <w:tc>
          <w:tcPr>
            <w:tcW w:w="1417" w:type="dxa"/>
            <w:tcBorders>
              <w:left w:val="single" w:sz="4" w:space="0" w:color="auto"/>
            </w:tcBorders>
            <w:shd w:val="clear" w:color="auto" w:fill="auto"/>
          </w:tcPr>
          <w:p w:rsidR="00EB1176" w:rsidRPr="003D780D" w:rsidRDefault="00EB1176" w:rsidP="007F3CE8"/>
        </w:tc>
      </w:tr>
      <w:tr w:rsidR="00EB1176" w:rsidRPr="003D780D" w:rsidTr="007F3CE8">
        <w:trPr>
          <w:jc w:val="center"/>
        </w:trPr>
        <w:tc>
          <w:tcPr>
            <w:tcW w:w="1980" w:type="dxa"/>
            <w:tcBorders>
              <w:left w:val="single" w:sz="4" w:space="0" w:color="auto"/>
            </w:tcBorders>
            <w:shd w:val="clear" w:color="auto" w:fill="auto"/>
          </w:tcPr>
          <w:p w:rsidR="00EB1176" w:rsidRPr="003D780D" w:rsidRDefault="00EB1176" w:rsidP="007F3CE8"/>
        </w:tc>
        <w:tc>
          <w:tcPr>
            <w:tcW w:w="2835" w:type="dxa"/>
            <w:tcBorders>
              <w:right w:val="single" w:sz="4" w:space="0" w:color="auto"/>
            </w:tcBorders>
            <w:shd w:val="clear" w:color="auto" w:fill="auto"/>
          </w:tcPr>
          <w:p w:rsidR="00EB1176" w:rsidRPr="003D780D" w:rsidRDefault="00EB1176" w:rsidP="007F3CE8">
            <w:r w:rsidRPr="003D780D">
              <w:t>Methane</w:t>
            </w:r>
          </w:p>
        </w:tc>
        <w:tc>
          <w:tcPr>
            <w:tcW w:w="1417" w:type="dxa"/>
            <w:tcBorders>
              <w:left w:val="single" w:sz="4" w:space="0" w:color="auto"/>
            </w:tcBorders>
            <w:shd w:val="clear" w:color="auto" w:fill="auto"/>
          </w:tcPr>
          <w:p w:rsidR="00EB1176" w:rsidRPr="003D780D" w:rsidRDefault="00EB1176" w:rsidP="007F3CE8"/>
        </w:tc>
      </w:tr>
      <w:tr w:rsidR="00EB1176" w:rsidRPr="003D780D" w:rsidTr="007F3CE8">
        <w:trPr>
          <w:cnfStyle w:val="000000100000" w:firstRow="0" w:lastRow="0" w:firstColumn="0" w:lastColumn="0" w:oddVBand="0" w:evenVBand="0" w:oddHBand="1" w:evenHBand="0" w:firstRowFirstColumn="0" w:firstRowLastColumn="0" w:lastRowFirstColumn="0" w:lastRowLastColumn="0"/>
          <w:jc w:val="center"/>
        </w:trPr>
        <w:tc>
          <w:tcPr>
            <w:tcW w:w="1980" w:type="dxa"/>
            <w:tcBorders>
              <w:left w:val="single" w:sz="4" w:space="0" w:color="auto"/>
            </w:tcBorders>
            <w:shd w:val="clear" w:color="auto" w:fill="auto"/>
          </w:tcPr>
          <w:p w:rsidR="00EB1176" w:rsidRPr="003D780D" w:rsidRDefault="00EB1176" w:rsidP="007F3CE8"/>
        </w:tc>
        <w:tc>
          <w:tcPr>
            <w:tcW w:w="2835" w:type="dxa"/>
            <w:tcBorders>
              <w:bottom w:val="single" w:sz="4" w:space="0" w:color="auto"/>
              <w:right w:val="single" w:sz="4" w:space="0" w:color="auto"/>
            </w:tcBorders>
            <w:shd w:val="clear" w:color="auto" w:fill="auto"/>
          </w:tcPr>
          <w:p w:rsidR="00EB1176" w:rsidRPr="003D780D" w:rsidRDefault="00EB1176" w:rsidP="007F3CE8">
            <w:r w:rsidRPr="003D780D">
              <w:t>Nitrous oxide</w:t>
            </w:r>
          </w:p>
        </w:tc>
        <w:tc>
          <w:tcPr>
            <w:tcW w:w="1417" w:type="dxa"/>
            <w:tcBorders>
              <w:left w:val="single" w:sz="4" w:space="0" w:color="auto"/>
              <w:bottom w:val="single" w:sz="4" w:space="0" w:color="auto"/>
            </w:tcBorders>
            <w:shd w:val="clear" w:color="auto" w:fill="auto"/>
          </w:tcPr>
          <w:p w:rsidR="00EB1176" w:rsidRPr="003D780D" w:rsidRDefault="00EB1176" w:rsidP="007F3CE8"/>
        </w:tc>
      </w:tr>
      <w:tr w:rsidR="00EB1176" w:rsidRPr="003D780D" w:rsidTr="007F3CE8">
        <w:trPr>
          <w:jc w:val="center"/>
        </w:trPr>
        <w:tc>
          <w:tcPr>
            <w:tcW w:w="1980" w:type="dxa"/>
            <w:tcBorders>
              <w:left w:val="single" w:sz="4" w:space="0" w:color="auto"/>
              <w:bottom w:val="single" w:sz="4" w:space="0" w:color="auto"/>
              <w:right w:val="single" w:sz="4" w:space="0" w:color="auto"/>
            </w:tcBorders>
            <w:shd w:val="clear" w:color="auto" w:fill="auto"/>
          </w:tcPr>
          <w:p w:rsidR="00EB1176" w:rsidRPr="003D780D" w:rsidRDefault="00EB1176" w:rsidP="007F3CE8"/>
        </w:tc>
        <w:tc>
          <w:tcPr>
            <w:tcW w:w="2835" w:type="dxa"/>
            <w:tcBorders>
              <w:top w:val="single" w:sz="4" w:space="0" w:color="auto"/>
              <w:left w:val="single" w:sz="4" w:space="0" w:color="auto"/>
              <w:bottom w:val="single" w:sz="4" w:space="0" w:color="auto"/>
              <w:right w:val="single" w:sz="4" w:space="0" w:color="auto"/>
            </w:tcBorders>
            <w:shd w:val="clear" w:color="auto" w:fill="auto"/>
          </w:tcPr>
          <w:p w:rsidR="00EB1176" w:rsidRPr="000D35D4" w:rsidRDefault="00EB1176" w:rsidP="007F3CE8">
            <w:pPr>
              <w:rPr>
                <w:i/>
              </w:rPr>
            </w:pPr>
            <w:r w:rsidRPr="000D35D4">
              <w:rPr>
                <w:i/>
              </w:rPr>
              <w:t xml:space="preserve">Sulphur hexafluoride </w:t>
            </w:r>
          </w:p>
        </w:tc>
        <w:tc>
          <w:tcPr>
            <w:tcW w:w="1417" w:type="dxa"/>
            <w:tcBorders>
              <w:top w:val="single" w:sz="4" w:space="0" w:color="auto"/>
              <w:left w:val="single" w:sz="4" w:space="0" w:color="auto"/>
              <w:right w:val="single" w:sz="4" w:space="0" w:color="auto"/>
            </w:tcBorders>
            <w:shd w:val="clear" w:color="auto" w:fill="auto"/>
          </w:tcPr>
          <w:p w:rsidR="00EB1176" w:rsidRPr="000D35D4" w:rsidRDefault="00EB1176" w:rsidP="007F3CE8">
            <w:pPr>
              <w:rPr>
                <w:i/>
              </w:rPr>
            </w:pPr>
            <w:r w:rsidRPr="000D35D4">
              <w:rPr>
                <w:i/>
              </w:rPr>
              <w:t>F-gas</w:t>
            </w:r>
          </w:p>
        </w:tc>
      </w:tr>
      <w:tr w:rsidR="00EB1176" w:rsidRPr="003D780D" w:rsidTr="007F3CE8">
        <w:trPr>
          <w:cnfStyle w:val="000000100000" w:firstRow="0" w:lastRow="0" w:firstColumn="0" w:lastColumn="0" w:oddVBand="0" w:evenVBand="0" w:oddHBand="1" w:evenHBand="0" w:firstRowFirstColumn="0" w:firstRowLastColumn="0" w:lastRowFirstColumn="0" w:lastRowLastColumn="0"/>
          <w:jc w:val="center"/>
        </w:trPr>
        <w:tc>
          <w:tcPr>
            <w:tcW w:w="1980" w:type="dxa"/>
            <w:tcBorders>
              <w:top w:val="single" w:sz="4" w:space="0" w:color="auto"/>
              <w:left w:val="single" w:sz="4" w:space="0" w:color="auto"/>
              <w:right w:val="single" w:sz="4" w:space="0" w:color="auto"/>
            </w:tcBorders>
            <w:shd w:val="clear" w:color="auto" w:fill="auto"/>
          </w:tcPr>
          <w:p w:rsidR="00EB1176" w:rsidRPr="003D780D" w:rsidRDefault="00EB1176" w:rsidP="007F3CE8">
            <w:r>
              <w:t>Groups of gases</w:t>
            </w:r>
          </w:p>
        </w:tc>
        <w:tc>
          <w:tcPr>
            <w:tcW w:w="2835" w:type="dxa"/>
            <w:tcBorders>
              <w:top w:val="single" w:sz="4" w:space="0" w:color="auto"/>
              <w:left w:val="single" w:sz="4" w:space="0" w:color="auto"/>
              <w:right w:val="single" w:sz="4" w:space="0" w:color="auto"/>
            </w:tcBorders>
            <w:shd w:val="clear" w:color="auto" w:fill="auto"/>
          </w:tcPr>
          <w:p w:rsidR="00EB1176" w:rsidRPr="000D35D4" w:rsidRDefault="00EB1176" w:rsidP="007F3CE8">
            <w:pPr>
              <w:rPr>
                <w:i/>
              </w:rPr>
            </w:pPr>
            <w:r w:rsidRPr="000D35D4">
              <w:rPr>
                <w:i/>
              </w:rPr>
              <w:t>Hydrofluorocarbons (HFCs)</w:t>
            </w:r>
          </w:p>
        </w:tc>
        <w:tc>
          <w:tcPr>
            <w:tcW w:w="1417" w:type="dxa"/>
            <w:tcBorders>
              <w:left w:val="single" w:sz="4" w:space="0" w:color="auto"/>
              <w:right w:val="single" w:sz="4" w:space="0" w:color="auto"/>
            </w:tcBorders>
            <w:shd w:val="clear" w:color="auto" w:fill="auto"/>
          </w:tcPr>
          <w:p w:rsidR="00EB1176" w:rsidRPr="000D35D4" w:rsidRDefault="00EB1176" w:rsidP="007F3CE8">
            <w:pPr>
              <w:rPr>
                <w:i/>
              </w:rPr>
            </w:pPr>
            <w:r w:rsidRPr="000D35D4">
              <w:rPr>
                <w:i/>
              </w:rPr>
              <w:t>F-gas</w:t>
            </w:r>
          </w:p>
        </w:tc>
      </w:tr>
      <w:tr w:rsidR="00EB1176" w:rsidRPr="003D780D" w:rsidTr="007F3CE8">
        <w:trPr>
          <w:jc w:val="center"/>
        </w:trPr>
        <w:tc>
          <w:tcPr>
            <w:tcW w:w="1980" w:type="dxa"/>
            <w:tcBorders>
              <w:left w:val="single" w:sz="4" w:space="0" w:color="auto"/>
              <w:bottom w:val="single" w:sz="4" w:space="0" w:color="auto"/>
              <w:right w:val="single" w:sz="4" w:space="0" w:color="auto"/>
            </w:tcBorders>
            <w:shd w:val="clear" w:color="auto" w:fill="auto"/>
          </w:tcPr>
          <w:p w:rsidR="00EB1176" w:rsidRPr="003D780D" w:rsidRDefault="00EB1176" w:rsidP="007F3CE8"/>
        </w:tc>
        <w:tc>
          <w:tcPr>
            <w:tcW w:w="2835" w:type="dxa"/>
            <w:tcBorders>
              <w:left w:val="single" w:sz="4" w:space="0" w:color="auto"/>
              <w:bottom w:val="single" w:sz="4" w:space="0" w:color="auto"/>
              <w:right w:val="single" w:sz="4" w:space="0" w:color="auto"/>
            </w:tcBorders>
            <w:shd w:val="clear" w:color="auto" w:fill="auto"/>
          </w:tcPr>
          <w:p w:rsidR="00EB1176" w:rsidRPr="000D35D4" w:rsidRDefault="00EB1176" w:rsidP="007F3CE8">
            <w:pPr>
              <w:rPr>
                <w:i/>
              </w:rPr>
            </w:pPr>
            <w:r w:rsidRPr="000D35D4">
              <w:rPr>
                <w:i/>
              </w:rPr>
              <w:t>Perfluorocarbons (PFCs)</w:t>
            </w:r>
          </w:p>
        </w:tc>
        <w:tc>
          <w:tcPr>
            <w:tcW w:w="1417" w:type="dxa"/>
            <w:tcBorders>
              <w:left w:val="single" w:sz="4" w:space="0" w:color="auto"/>
              <w:bottom w:val="single" w:sz="4" w:space="0" w:color="auto"/>
              <w:right w:val="single" w:sz="4" w:space="0" w:color="auto"/>
            </w:tcBorders>
            <w:shd w:val="clear" w:color="auto" w:fill="auto"/>
          </w:tcPr>
          <w:p w:rsidR="00EB1176" w:rsidRPr="000D35D4" w:rsidRDefault="00EB1176" w:rsidP="007F3CE8">
            <w:pPr>
              <w:rPr>
                <w:i/>
              </w:rPr>
            </w:pPr>
            <w:r w:rsidRPr="000D35D4">
              <w:rPr>
                <w:i/>
              </w:rPr>
              <w:t>F-gas</w:t>
            </w:r>
          </w:p>
        </w:tc>
      </w:tr>
    </w:tbl>
    <w:p w:rsidR="00EB1176" w:rsidRDefault="00EB1176" w:rsidP="00EB1176">
      <w:pPr>
        <w:rPr>
          <w:sz w:val="20"/>
        </w:rPr>
      </w:pPr>
    </w:p>
    <w:p w:rsidR="00EB1176" w:rsidRPr="003C1982" w:rsidRDefault="00EB1176" w:rsidP="00EB1176">
      <w:pPr>
        <w:pStyle w:val="Heading4"/>
      </w:pPr>
      <w:r w:rsidRPr="003C1982">
        <w:t>Carbon dioxide – ten years of emission</w:t>
      </w:r>
      <w:r>
        <w:t>s</w:t>
      </w:r>
    </w:p>
    <w:p w:rsidR="00EB1176" w:rsidRPr="00A334D6" w:rsidRDefault="00EB1176" w:rsidP="00EB1176">
      <w:pPr>
        <w:rPr>
          <w:i/>
        </w:rPr>
      </w:pPr>
      <w:r w:rsidRPr="00A334D6">
        <w:rPr>
          <w:i/>
        </w:rPr>
        <w:t>Figure 1: Ten year ART carbon dioxide emissions in kg</w:t>
      </w:r>
    </w:p>
    <w:p w:rsidR="00EB1176" w:rsidRDefault="00EB1176" w:rsidP="00EB1176">
      <w:r>
        <w:rPr>
          <w:noProof/>
          <w:lang w:eastAsia="en-GB"/>
        </w:rPr>
        <w:drawing>
          <wp:inline distT="0" distB="0" distL="0" distR="0" wp14:anchorId="46E5811C" wp14:editId="6D96F30D">
            <wp:extent cx="6645910" cy="3600000"/>
            <wp:effectExtent l="0" t="0" r="254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B1176" w:rsidRDefault="00EB1176" w:rsidP="00EB1176">
      <w:r>
        <w:t>The reporting threshold for carbon dioxide is 10,000,000kg.</w:t>
      </w:r>
    </w:p>
    <w:p w:rsidR="00EB1176" w:rsidRPr="003C1982" w:rsidRDefault="00EB1176" w:rsidP="00EB1176">
      <w:r w:rsidRPr="0014118F">
        <w:t xml:space="preserve">The downward trend in </w:t>
      </w:r>
      <w:r>
        <w:t>carbon dioxide</w:t>
      </w:r>
      <w:r w:rsidRPr="0014118F">
        <w:t xml:space="preserve"> emissions from SPRI sites continues but appears to be levelling off since 2016. A number of variables influence the</w:t>
      </w:r>
      <w:r>
        <w:t>se</w:t>
      </w:r>
      <w:r w:rsidRPr="0014118F">
        <w:t xml:space="preserve"> emissions; in the long term, the shift away from use of coal as a fuel is a significant factor. Wider economic drivers and the weather are other factors identified as affecting </w:t>
      </w:r>
      <w:r>
        <w:t>carbon dioxide and other greenhouse gas</w:t>
      </w:r>
      <w:r w:rsidRPr="0014118F">
        <w:t xml:space="preserve"> emissions from SPRI sites.</w:t>
      </w:r>
    </w:p>
    <w:p w:rsidR="00EB1176" w:rsidRDefault="00EB1176" w:rsidP="00EB1176">
      <w:r>
        <w:t xml:space="preserve">As figures 2 and 3 show, carbon dioxide emissions from the energy sector have fallen by around 70% since 2010, largely due to the closure of coal fired power stations; notably </w:t>
      </w:r>
      <w:proofErr w:type="spellStart"/>
      <w:r>
        <w:t>Cockenzie</w:t>
      </w:r>
      <w:proofErr w:type="spellEnd"/>
      <w:r>
        <w:t xml:space="preserve"> and </w:t>
      </w:r>
      <w:proofErr w:type="spellStart"/>
      <w:r>
        <w:t>Longannet</w:t>
      </w:r>
      <w:proofErr w:type="spellEnd"/>
      <w:r>
        <w:t>. As the energy sector emissions have fallen, releases from other sectors now form a greater proportion of the greenhouse g</w:t>
      </w:r>
      <w:r w:rsidR="00CE41A6">
        <w:t xml:space="preserve">as emissions reported to SPRI. </w:t>
      </w:r>
    </w:p>
    <w:p w:rsidR="00EB1176" w:rsidRPr="00DE146F" w:rsidRDefault="00EB1176" w:rsidP="00EB1176">
      <w:r>
        <w:t xml:space="preserve">Notably, carbon dioxide emissions from the waste sector continue to rise. 2019 saw three large energy from waste facilities complete their commissioning and come into normal use. </w:t>
      </w:r>
    </w:p>
    <w:p w:rsidR="00EB1176" w:rsidRPr="001E18F7" w:rsidRDefault="00EB1176" w:rsidP="00EB1176">
      <w:pPr>
        <w:rPr>
          <w:i/>
        </w:rPr>
      </w:pPr>
      <w:r w:rsidRPr="001E18F7">
        <w:rPr>
          <w:i/>
        </w:rPr>
        <w:lastRenderedPageBreak/>
        <w:t xml:space="preserve">Figure </w:t>
      </w:r>
      <w:r>
        <w:rPr>
          <w:i/>
        </w:rPr>
        <w:t>2</w:t>
      </w:r>
      <w:r w:rsidRPr="001E18F7">
        <w:rPr>
          <w:i/>
        </w:rPr>
        <w:t xml:space="preserve">: Total of ART carbon dioxide emissions reported to SPRI in 2010 and 2019 by industry sector in </w:t>
      </w:r>
      <w:proofErr w:type="spellStart"/>
      <w:r w:rsidRPr="001E18F7">
        <w:rPr>
          <w:i/>
        </w:rPr>
        <w:t>kilotonnes</w:t>
      </w:r>
      <w:proofErr w:type="spellEnd"/>
    </w:p>
    <w:p w:rsidR="00EB1176" w:rsidRPr="001E18F7" w:rsidRDefault="00694EA1" w:rsidP="00EB1176">
      <w:r>
        <w:rPr>
          <w:noProof/>
          <w:lang w:eastAsia="en-GB"/>
        </w:rPr>
        <w:drawing>
          <wp:inline distT="0" distB="0" distL="0" distR="0" wp14:anchorId="182596B4" wp14:editId="7C57D4A0">
            <wp:extent cx="6645910" cy="3981450"/>
            <wp:effectExtent l="0" t="0" r="2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B1176" w:rsidRPr="001E18F7">
        <w:rPr>
          <w:sz w:val="20"/>
        </w:rPr>
        <w:t xml:space="preserve">Note: 1 </w:t>
      </w:r>
      <w:proofErr w:type="spellStart"/>
      <w:r w:rsidR="00EB1176" w:rsidRPr="001E18F7">
        <w:rPr>
          <w:sz w:val="20"/>
        </w:rPr>
        <w:t>kilotonne</w:t>
      </w:r>
      <w:proofErr w:type="spellEnd"/>
      <w:r w:rsidR="00EB1176" w:rsidRPr="001E18F7">
        <w:rPr>
          <w:sz w:val="20"/>
        </w:rPr>
        <w:t xml:space="preserve"> (</w:t>
      </w:r>
      <w:proofErr w:type="spellStart"/>
      <w:r w:rsidR="00EB1176" w:rsidRPr="001E18F7">
        <w:rPr>
          <w:sz w:val="20"/>
        </w:rPr>
        <w:t>kt</w:t>
      </w:r>
      <w:proofErr w:type="spellEnd"/>
      <w:r w:rsidR="00EB1176" w:rsidRPr="001E18F7">
        <w:rPr>
          <w:sz w:val="20"/>
        </w:rPr>
        <w:t>) = 1,000,000kg</w:t>
      </w:r>
    </w:p>
    <w:p w:rsidR="00EB1176" w:rsidRPr="001D08E5" w:rsidRDefault="00EB1176" w:rsidP="00EB1176">
      <w:pPr>
        <w:rPr>
          <w:i/>
        </w:rPr>
      </w:pPr>
      <w:r>
        <w:rPr>
          <w:i/>
        </w:rPr>
        <w:t>Figure 3</w:t>
      </w:r>
      <w:r w:rsidRPr="001D08E5">
        <w:rPr>
          <w:i/>
        </w:rPr>
        <w:t>: Percentage of ART carbon dioxide emissions reported to SPRI in 2010 and 2019 by industry sector</w:t>
      </w:r>
    </w:p>
    <w:p w:rsidR="009A0A87" w:rsidRPr="001329EF" w:rsidRDefault="009E0483">
      <w:r>
        <w:rPr>
          <w:noProof/>
          <w:lang w:eastAsia="en-GB"/>
        </w:rPr>
        <w:drawing>
          <wp:inline distT="0" distB="0" distL="0" distR="0" wp14:anchorId="4AC95CD2" wp14:editId="7BD0E46B">
            <wp:extent cx="6645910" cy="4381500"/>
            <wp:effectExtent l="0" t="0" r="25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B1176" w:rsidRPr="001D0AAA" w:rsidRDefault="00EB1176" w:rsidP="00EB1176">
      <w:pPr>
        <w:pStyle w:val="Heading4"/>
      </w:pPr>
      <w:r>
        <w:lastRenderedPageBreak/>
        <w:t>Methane</w:t>
      </w:r>
      <w:r w:rsidRPr="003C1982">
        <w:t xml:space="preserve"> – ten years of emission</w:t>
      </w:r>
      <w:r>
        <w:t>s</w:t>
      </w:r>
    </w:p>
    <w:p w:rsidR="00EB1176" w:rsidRPr="007876E9" w:rsidRDefault="00EB1176" w:rsidP="00EB1176">
      <w:pPr>
        <w:rPr>
          <w:i/>
        </w:rPr>
      </w:pPr>
      <w:r w:rsidRPr="007876E9">
        <w:rPr>
          <w:i/>
        </w:rPr>
        <w:t xml:space="preserve">Figure </w:t>
      </w:r>
      <w:r>
        <w:rPr>
          <w:i/>
        </w:rPr>
        <w:t>4</w:t>
      </w:r>
      <w:r w:rsidRPr="007876E9">
        <w:rPr>
          <w:i/>
        </w:rPr>
        <w:t>: Ten year ART methane emissions in kg</w:t>
      </w:r>
    </w:p>
    <w:p w:rsidR="00EB1176" w:rsidRDefault="00EB1176" w:rsidP="00EB1176">
      <w:r>
        <w:rPr>
          <w:noProof/>
          <w:lang w:eastAsia="en-GB"/>
        </w:rPr>
        <w:drawing>
          <wp:inline distT="0" distB="0" distL="0" distR="0" wp14:anchorId="2DC6A5FD" wp14:editId="38DAA205">
            <wp:extent cx="6645910" cy="3678865"/>
            <wp:effectExtent l="0" t="0" r="2540"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1176" w:rsidRDefault="00EB1176" w:rsidP="00EB1176">
      <w:r>
        <w:t>Methane’s reporting threshold is 10,000kg.</w:t>
      </w:r>
    </w:p>
    <w:p w:rsidR="00EB1176" w:rsidRPr="00AD6CA8" w:rsidRDefault="00EB1176" w:rsidP="00EB1176">
      <w:r>
        <w:t xml:space="preserve">Emissions from sites reporting under 5(d) </w:t>
      </w:r>
      <w:r w:rsidRPr="00794D8D">
        <w:t>Landfills (excluding landfills of inert waste)</w:t>
      </w:r>
      <w:r>
        <w:t xml:space="preserve"> make up between 79% and 8</w:t>
      </w:r>
      <w:r w:rsidR="006C53AC">
        <w:t>7</w:t>
      </w:r>
      <w:r>
        <w:t xml:space="preserve">% of total methane emissions in the figure above. </w:t>
      </w:r>
    </w:p>
    <w:p w:rsidR="00EB1176" w:rsidRPr="001E18F7" w:rsidRDefault="00EB1176" w:rsidP="00EB1176">
      <w:pPr>
        <w:rPr>
          <w:i/>
        </w:rPr>
      </w:pPr>
      <w:r w:rsidRPr="001E18F7">
        <w:rPr>
          <w:i/>
        </w:rPr>
        <w:t xml:space="preserve">Figure </w:t>
      </w:r>
      <w:r>
        <w:rPr>
          <w:i/>
        </w:rPr>
        <w:t>5</w:t>
      </w:r>
      <w:r w:rsidRPr="001E18F7">
        <w:rPr>
          <w:i/>
        </w:rPr>
        <w:t xml:space="preserve">: Total of ART methane emissions reported to SPRI in 2010 and 2019 by industry sector in </w:t>
      </w:r>
      <w:r>
        <w:rPr>
          <w:i/>
        </w:rPr>
        <w:t>tonnes</w:t>
      </w:r>
    </w:p>
    <w:p w:rsidR="00EB1176" w:rsidRDefault="00EB1176" w:rsidP="00EB1176">
      <w:r>
        <w:rPr>
          <w:noProof/>
          <w:lang w:eastAsia="en-GB"/>
        </w:rPr>
        <w:drawing>
          <wp:inline distT="0" distB="0" distL="0" distR="0" wp14:anchorId="36865BC1" wp14:editId="5B7ACEF5">
            <wp:extent cx="6645910" cy="3240000"/>
            <wp:effectExtent l="0" t="0" r="254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sz w:val="20"/>
        </w:rPr>
        <w:t>Note: 1 tonne (t) = 1,000</w:t>
      </w:r>
      <w:r w:rsidRPr="001E18F7">
        <w:rPr>
          <w:sz w:val="20"/>
        </w:rPr>
        <w:t>kg</w:t>
      </w:r>
    </w:p>
    <w:p w:rsidR="00EB1176" w:rsidRDefault="00EB1176" w:rsidP="00EB1176">
      <w:pPr>
        <w:rPr>
          <w:b/>
          <w:sz w:val="24"/>
          <w:u w:val="single"/>
        </w:rPr>
      </w:pPr>
      <w:r>
        <w:rPr>
          <w:b/>
          <w:sz w:val="24"/>
          <w:u w:val="single"/>
        </w:rPr>
        <w:br w:type="page"/>
      </w:r>
    </w:p>
    <w:p w:rsidR="00EB1176" w:rsidRPr="003C1982" w:rsidRDefault="00EB1176" w:rsidP="00EB1176">
      <w:pPr>
        <w:pStyle w:val="Heading4"/>
      </w:pPr>
      <w:r>
        <w:lastRenderedPageBreak/>
        <w:t xml:space="preserve">Nitrous </w:t>
      </w:r>
      <w:proofErr w:type="gramStart"/>
      <w:r>
        <w:t xml:space="preserve">oxide </w:t>
      </w:r>
      <w:r w:rsidRPr="003C1982">
        <w:t xml:space="preserve"> –</w:t>
      </w:r>
      <w:proofErr w:type="gramEnd"/>
      <w:r w:rsidRPr="003C1982">
        <w:t xml:space="preserve"> ten years of emission</w:t>
      </w:r>
      <w:r>
        <w:t>s</w:t>
      </w:r>
    </w:p>
    <w:p w:rsidR="00EB1176" w:rsidRPr="00427713" w:rsidRDefault="00EB1176" w:rsidP="00EB1176">
      <w:pPr>
        <w:rPr>
          <w:i/>
        </w:rPr>
      </w:pPr>
      <w:r>
        <w:rPr>
          <w:i/>
        </w:rPr>
        <w:t>Figure 6</w:t>
      </w:r>
      <w:r w:rsidRPr="00427713">
        <w:rPr>
          <w:i/>
        </w:rPr>
        <w:t>: Ten year ART nitrous oxide emissions in kg</w:t>
      </w:r>
    </w:p>
    <w:p w:rsidR="00EB1176" w:rsidRDefault="00EB1176" w:rsidP="00EB1176">
      <w:r>
        <w:rPr>
          <w:noProof/>
          <w:lang w:eastAsia="en-GB"/>
        </w:rPr>
        <w:drawing>
          <wp:inline distT="0" distB="0" distL="0" distR="0" wp14:anchorId="116270A9" wp14:editId="0888CD34">
            <wp:extent cx="6645910" cy="2880000"/>
            <wp:effectExtent l="0" t="0" r="2540"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1176" w:rsidRDefault="000B3A8C" w:rsidP="00EB1176">
      <w:r>
        <w:t>T</w:t>
      </w:r>
      <w:r w:rsidR="00EB1176">
        <w:t>he reporting threshold for nitrous oxide is 10,000kg and only six sites report</w:t>
      </w:r>
      <w:r>
        <w:t>ed</w:t>
      </w:r>
      <w:r w:rsidR="00EB1176">
        <w:t xml:space="preserve"> ART nitrous oxide emissions in 2019. Only fourteen sites have had ART emissions since 2010: twelve from 1 - Energy sector.</w:t>
      </w:r>
    </w:p>
    <w:p w:rsidR="00EB1176" w:rsidRDefault="00EB1176" w:rsidP="00EB1176">
      <w:r>
        <w:t>One site reported emissions of 11,800kg in 2019 but was BRT in 2018 so no data for that year is included. Most of the year to year variation in total emissions is due to these minor fluctuations between BRT and ART. Prior to 2016, the coal-fired power stations were very significant sources of nitrous oxide.</w:t>
      </w:r>
    </w:p>
    <w:p w:rsidR="00EB1176" w:rsidRPr="00AD6CA8" w:rsidRDefault="00EB1176" w:rsidP="00EB1176"/>
    <w:p w:rsidR="00EB1176" w:rsidRPr="003C1982" w:rsidRDefault="00EB1176" w:rsidP="00EB1176">
      <w:pPr>
        <w:pStyle w:val="Heading4"/>
      </w:pPr>
      <w:r>
        <w:t xml:space="preserve">F-gases </w:t>
      </w:r>
      <w:r w:rsidRPr="003C1982">
        <w:t>– ten years of emission</w:t>
      </w:r>
      <w:r>
        <w:t>s</w:t>
      </w:r>
    </w:p>
    <w:p w:rsidR="00EB1176" w:rsidRPr="006C3FB2" w:rsidRDefault="00EB1176" w:rsidP="00EB1176">
      <w:pPr>
        <w:rPr>
          <w:i/>
        </w:rPr>
      </w:pPr>
      <w:r>
        <w:rPr>
          <w:i/>
        </w:rPr>
        <w:t>Figure 7</w:t>
      </w:r>
      <w:r w:rsidRPr="006C3FB2">
        <w:rPr>
          <w:i/>
        </w:rPr>
        <w:t>: Ten year ART F-gas emissions in kg</w:t>
      </w:r>
    </w:p>
    <w:p w:rsidR="00EB1176" w:rsidRDefault="00EB1176" w:rsidP="00EB1176">
      <w:r>
        <w:rPr>
          <w:noProof/>
          <w:lang w:eastAsia="en-GB"/>
        </w:rPr>
        <w:drawing>
          <wp:inline distT="0" distB="0" distL="0" distR="0" wp14:anchorId="0334F426" wp14:editId="21870862">
            <wp:extent cx="6645910" cy="3943350"/>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42D7" w:rsidRDefault="0020775D" w:rsidP="00EB1176">
      <w:r>
        <w:lastRenderedPageBreak/>
        <w:t>The F-gas figures are given in kilogrammes, as they are reported to SPRI. It is currently not possible for us to reliably convert these to carbon dioxide equivalent (CO</w:t>
      </w:r>
      <w:r w:rsidRPr="0020775D">
        <w:rPr>
          <w:vertAlign w:val="subscript"/>
        </w:rPr>
        <w:t>2</w:t>
      </w:r>
      <w:r>
        <w:t xml:space="preserve">e) values as we do not collect information identifying individual species of hydrofluorocarbons and perfluorocarbons. </w:t>
      </w:r>
    </w:p>
    <w:p w:rsidR="008042D7" w:rsidRDefault="008042D7" w:rsidP="00EB1176">
      <w:r w:rsidRPr="008042D7">
        <w:t>All three F-gas emissions are based on small numbers of ART sites.</w:t>
      </w:r>
    </w:p>
    <w:p w:rsidR="00EB1176" w:rsidRDefault="00EB1176" w:rsidP="00EB1176">
      <w:r w:rsidRPr="003E7CDD">
        <w:rPr>
          <w:b/>
        </w:rPr>
        <w:t>Hydrofluorocarbons:</w:t>
      </w:r>
      <w:r>
        <w:t xml:space="preserve"> ART emissions are often associated with loss of refrigerant from chiller systems, and the number an</w:t>
      </w:r>
      <w:r w:rsidR="000B3A8C">
        <w:t>d</w:t>
      </w:r>
      <w:r>
        <w:t xml:space="preserve"> </w:t>
      </w:r>
      <w:r w:rsidR="000B3A8C">
        <w:t>list</w:t>
      </w:r>
      <w:r>
        <w:t xml:space="preserve"> of reporting sites is quite variable, although the majority are from </w:t>
      </w:r>
      <w:r w:rsidR="00E948A4">
        <w:t xml:space="preserve">sector </w:t>
      </w:r>
      <w:r w:rsidRPr="00D06C1B">
        <w:t>8 - Animal and vegetable products from the food and beverage sector</w:t>
      </w:r>
      <w:r>
        <w:t xml:space="preserve">. There were two ART emissions reported in 2019, compared to six in 2018. </w:t>
      </w:r>
    </w:p>
    <w:p w:rsidR="00EB1176" w:rsidRDefault="00EB1176" w:rsidP="00EB1176">
      <w:r w:rsidRPr="003E7CDD">
        <w:rPr>
          <w:b/>
        </w:rPr>
        <w:t>Perfluorocarbons:</w:t>
      </w:r>
      <w:r>
        <w:t xml:space="preserve"> Between 2010 and 2017, the same three sites reported ART emissions each year; one closed in 2018. A new site has reported emissions in 2019.</w:t>
      </w:r>
      <w:r w:rsidRPr="00541797">
        <w:t xml:space="preserve"> </w:t>
      </w:r>
      <w:r>
        <w:t xml:space="preserve">The sites are from sectors </w:t>
      </w:r>
      <w:r w:rsidRPr="00541797">
        <w:t xml:space="preserve">4 - Chemical industry </w:t>
      </w:r>
      <w:r>
        <w:t xml:space="preserve">and </w:t>
      </w:r>
      <w:r w:rsidRPr="00541797">
        <w:t>2 - Production and processing of metals</w:t>
      </w:r>
      <w:r>
        <w:t>.</w:t>
      </w:r>
    </w:p>
    <w:p w:rsidR="00EB1176" w:rsidRDefault="00EB1176" w:rsidP="00EB1176">
      <w:r w:rsidRPr="003E7CDD">
        <w:rPr>
          <w:b/>
        </w:rPr>
        <w:t>Sulphur hexafluoride:</w:t>
      </w:r>
      <w:r>
        <w:t xml:space="preserve"> Since 2010 only four sites in total have reported ART values, all from sector 4</w:t>
      </w:r>
      <w:r w:rsidRPr="00541797">
        <w:t xml:space="preserve"> </w:t>
      </w:r>
      <w:r>
        <w:t xml:space="preserve">- </w:t>
      </w:r>
      <w:r w:rsidRPr="00541797">
        <w:t>Chemical industry</w:t>
      </w:r>
      <w:r>
        <w:t>. In most years there were two sites reporting; in two years there were three.</w:t>
      </w:r>
    </w:p>
    <w:p w:rsidR="00EB1176" w:rsidRDefault="00EB1176" w:rsidP="00EB1176"/>
    <w:p w:rsidR="00EB1176" w:rsidRDefault="00EB1176" w:rsidP="00EB1176">
      <w:pPr>
        <w:rPr>
          <w:b/>
          <w:sz w:val="24"/>
          <w:u w:val="single"/>
        </w:rPr>
      </w:pPr>
    </w:p>
    <w:p w:rsidR="00EB1176" w:rsidRDefault="00EB1176" w:rsidP="00EB1176"/>
    <w:p w:rsidR="00AB1F89" w:rsidRDefault="00AB1F89"/>
    <w:p w:rsidR="00AB1F89" w:rsidRDefault="00AB1F89"/>
    <w:p w:rsidR="00110960" w:rsidRDefault="00110960">
      <w:pPr>
        <w:rPr>
          <w:b/>
          <w:sz w:val="24"/>
        </w:rPr>
      </w:pPr>
      <w:r>
        <w:rPr>
          <w:b/>
          <w:sz w:val="24"/>
        </w:rPr>
        <w:br w:type="page"/>
      </w:r>
    </w:p>
    <w:p w:rsidR="008336E8" w:rsidRDefault="009569C3" w:rsidP="007572EA">
      <w:pPr>
        <w:pStyle w:val="Heading3"/>
      </w:pPr>
      <w:bookmarkStart w:id="9" w:name="_Toc51591147"/>
      <w:r>
        <w:lastRenderedPageBreak/>
        <w:t xml:space="preserve">1.4 </w:t>
      </w:r>
      <w:r w:rsidR="003359E8" w:rsidRPr="003359E8">
        <w:t xml:space="preserve">SPRI </w:t>
      </w:r>
      <w:r w:rsidR="003359E8" w:rsidRPr="007572EA">
        <w:t>reporting</w:t>
      </w:r>
      <w:r w:rsidR="003359E8" w:rsidRPr="003359E8">
        <w:t xml:space="preserve"> data</w:t>
      </w:r>
      <w:bookmarkEnd w:id="9"/>
    </w:p>
    <w:p w:rsidR="00532FE8" w:rsidRDefault="00532FE8" w:rsidP="006C54DC">
      <w:pPr>
        <w:spacing w:after="0"/>
      </w:pPr>
    </w:p>
    <w:p w:rsidR="00D151FF" w:rsidRPr="00532FE8" w:rsidRDefault="00D151FF" w:rsidP="00D151FF">
      <w:pPr>
        <w:pStyle w:val="Heading4"/>
      </w:pPr>
      <w:r>
        <w:t xml:space="preserve">SPRI sites by </w:t>
      </w:r>
      <w:r w:rsidR="00C52766">
        <w:t>Activity code</w:t>
      </w:r>
    </w:p>
    <w:p w:rsidR="00C52766" w:rsidRDefault="00C52766" w:rsidP="006C54DC">
      <w:pPr>
        <w:spacing w:after="0"/>
      </w:pPr>
    </w:p>
    <w:p w:rsidR="00D151FF" w:rsidRDefault="00C52766" w:rsidP="006C54DC">
      <w:pPr>
        <w:spacing w:after="0"/>
      </w:pPr>
      <w:r w:rsidRPr="00C52766">
        <w:t xml:space="preserve">The SPRI </w:t>
      </w:r>
      <w:r w:rsidR="00121BB3">
        <w:t xml:space="preserve">activity </w:t>
      </w:r>
      <w:r w:rsidRPr="00C52766">
        <w:t xml:space="preserve">code reflects the activity or activities permitted to take place on a site as specified in the site authorisation. The codes allow Scottish sites to be compared to European sites by providing a common system of categorising industrial activities. </w:t>
      </w:r>
      <w:r>
        <w:t>The</w:t>
      </w:r>
      <w:r w:rsidRPr="00C52766">
        <w:t xml:space="preserve"> codes are</w:t>
      </w:r>
      <w:r w:rsidR="00121BB3">
        <w:t xml:space="preserve"> largely</w:t>
      </w:r>
      <w:r w:rsidRPr="00C52766">
        <w:t xml:space="preserve"> the same as those listed in the </w:t>
      </w:r>
      <w:hyperlink r:id="rId22" w:history="1">
        <w:r w:rsidRPr="00E948A4">
          <w:rPr>
            <w:rStyle w:val="Hyperlink"/>
          </w:rPr>
          <w:t>European Pollutant Release and Transfer Register Regulation</w:t>
        </w:r>
      </w:hyperlink>
      <w:r w:rsidR="00121BB3">
        <w:t>.</w:t>
      </w:r>
    </w:p>
    <w:p w:rsidR="00C52766" w:rsidRDefault="00C52766" w:rsidP="006C54DC">
      <w:pPr>
        <w:spacing w:after="0"/>
      </w:pPr>
    </w:p>
    <w:p w:rsidR="00C52766" w:rsidRDefault="00C52766" w:rsidP="006C54DC">
      <w:pPr>
        <w:spacing w:after="0"/>
      </w:pPr>
      <w:r>
        <w:t>Note that when we refer to “Industry sectors” we mean the top-level Activity code (e.g. 1 is Energy)</w:t>
      </w:r>
    </w:p>
    <w:p w:rsidR="00C52766" w:rsidRPr="00C52766" w:rsidRDefault="00C52766" w:rsidP="006C54DC">
      <w:pPr>
        <w:spacing w:after="0"/>
      </w:pPr>
    </w:p>
    <w:p w:rsidR="003359E8" w:rsidRPr="00B34F59" w:rsidRDefault="004C66F0">
      <w:pPr>
        <w:rPr>
          <w:i/>
        </w:rPr>
      </w:pPr>
      <w:r>
        <w:rPr>
          <w:i/>
        </w:rPr>
        <w:t>Table 6</w:t>
      </w:r>
      <w:r w:rsidR="007F61AB">
        <w:rPr>
          <w:i/>
        </w:rPr>
        <w:t>: N</w:t>
      </w:r>
      <w:r w:rsidR="003359E8" w:rsidRPr="00B34F59">
        <w:rPr>
          <w:i/>
        </w:rPr>
        <w:t xml:space="preserve">umber of sites </w:t>
      </w:r>
      <w:r w:rsidR="00B34F59">
        <w:rPr>
          <w:i/>
        </w:rPr>
        <w:t xml:space="preserve">required to report to SPRI in 2019 </w:t>
      </w:r>
      <w:r w:rsidR="003359E8" w:rsidRPr="00B34F59">
        <w:rPr>
          <w:i/>
        </w:rPr>
        <w:t xml:space="preserve">under each </w:t>
      </w:r>
      <w:r w:rsidR="00C52766">
        <w:rPr>
          <w:i/>
        </w:rPr>
        <w:t>Activity</w:t>
      </w:r>
      <w:r w:rsidR="003359E8" w:rsidRPr="00B34F59">
        <w:rPr>
          <w:i/>
        </w:rPr>
        <w:t xml:space="preserve"> code (including sub-codes)</w:t>
      </w:r>
    </w:p>
    <w:tbl>
      <w:tblPr>
        <w:tblStyle w:val="PlainTable1"/>
        <w:tblW w:w="10570" w:type="dxa"/>
        <w:tblCellMar>
          <w:left w:w="57" w:type="dxa"/>
          <w:right w:w="57" w:type="dxa"/>
        </w:tblCellMar>
        <w:tblLook w:val="04A0" w:firstRow="1" w:lastRow="0" w:firstColumn="1" w:lastColumn="0" w:noHBand="0" w:noVBand="1"/>
      </w:tblPr>
      <w:tblGrid>
        <w:gridCol w:w="711"/>
        <w:gridCol w:w="4387"/>
        <w:gridCol w:w="3663"/>
        <w:gridCol w:w="876"/>
        <w:gridCol w:w="933"/>
      </w:tblGrid>
      <w:tr w:rsidR="00B34F59" w:rsidRPr="00B34F59" w:rsidTr="0094785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11" w:type="dxa"/>
            <w:tcBorders>
              <w:bottom w:val="single" w:sz="4" w:space="0" w:color="auto"/>
            </w:tcBorders>
            <w:noWrap/>
            <w:hideMark/>
          </w:tcPr>
          <w:p w:rsidR="00B34F59" w:rsidRPr="0094785C" w:rsidRDefault="00B34F59" w:rsidP="00B34F59">
            <w:pPr>
              <w:rPr>
                <w:b w:val="0"/>
                <w:sz w:val="20"/>
                <w:szCs w:val="20"/>
              </w:rPr>
            </w:pPr>
            <w:r w:rsidRPr="0094785C">
              <w:rPr>
                <w:b w:val="0"/>
                <w:sz w:val="20"/>
                <w:szCs w:val="20"/>
              </w:rPr>
              <w:t>Code</w:t>
            </w:r>
          </w:p>
        </w:tc>
        <w:tc>
          <w:tcPr>
            <w:tcW w:w="4387" w:type="dxa"/>
            <w:tcBorders>
              <w:bottom w:val="single" w:sz="4" w:space="0" w:color="auto"/>
            </w:tcBorders>
            <w:hideMark/>
          </w:tcPr>
          <w:p w:rsidR="00B34F59" w:rsidRPr="0094785C" w:rsidRDefault="00B34F59" w:rsidP="00B34F59">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Activity</w:t>
            </w:r>
          </w:p>
        </w:tc>
        <w:tc>
          <w:tcPr>
            <w:tcW w:w="3663" w:type="dxa"/>
            <w:tcBorders>
              <w:bottom w:val="single" w:sz="4" w:space="0" w:color="auto"/>
            </w:tcBorders>
            <w:hideMark/>
          </w:tcPr>
          <w:p w:rsidR="00B34F59" w:rsidRPr="0094785C" w:rsidRDefault="00B34F59" w:rsidP="00B34F59">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Capacity Threshold</w:t>
            </w:r>
          </w:p>
        </w:tc>
        <w:tc>
          <w:tcPr>
            <w:tcW w:w="876" w:type="dxa"/>
            <w:tcBorders>
              <w:bottom w:val="single" w:sz="4" w:space="0" w:color="auto"/>
            </w:tcBorders>
            <w:hideMark/>
          </w:tcPr>
          <w:p w:rsidR="00B34F59" w:rsidRPr="0094785C" w:rsidRDefault="00B34F59" w:rsidP="00B34F59">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Operator submits return</w:t>
            </w:r>
          </w:p>
        </w:tc>
        <w:tc>
          <w:tcPr>
            <w:tcW w:w="933" w:type="dxa"/>
            <w:tcBorders>
              <w:bottom w:val="single" w:sz="4" w:space="0" w:color="auto"/>
            </w:tcBorders>
            <w:hideMark/>
          </w:tcPr>
          <w:p w:rsidR="00B34F59" w:rsidRPr="0094785C" w:rsidRDefault="00B34F59" w:rsidP="00B34F59">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Waste system</w:t>
            </w:r>
            <w:r w:rsidR="006C54DC" w:rsidRPr="0094785C">
              <w:rPr>
                <w:b w:val="0"/>
                <w:sz w:val="20"/>
                <w:szCs w:val="20"/>
              </w:rPr>
              <w:t xml:space="preserve"> transfer</w:t>
            </w:r>
          </w:p>
        </w:tc>
      </w:tr>
      <w:tr w:rsidR="0025796B" w:rsidRPr="00B34F59" w:rsidTr="009478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tcBorders>
              <w:top w:val="single" w:sz="4" w:space="0" w:color="auto"/>
            </w:tcBorders>
            <w:noWrap/>
            <w:hideMark/>
          </w:tcPr>
          <w:p w:rsidR="0025796B" w:rsidRPr="0025796B" w:rsidRDefault="0025796B" w:rsidP="00B34F59">
            <w:pPr>
              <w:rPr>
                <w:sz w:val="20"/>
                <w:szCs w:val="20"/>
              </w:rPr>
            </w:pPr>
            <w:r w:rsidRPr="0025796B">
              <w:rPr>
                <w:sz w:val="20"/>
                <w:szCs w:val="20"/>
              </w:rPr>
              <w:t>1</w:t>
            </w:r>
          </w:p>
        </w:tc>
        <w:tc>
          <w:tcPr>
            <w:tcW w:w="8050" w:type="dxa"/>
            <w:gridSpan w:val="2"/>
            <w:tcBorders>
              <w:top w:val="single" w:sz="4" w:space="0" w:color="auto"/>
            </w:tcBorders>
            <w:hideMark/>
          </w:tcPr>
          <w:p w:rsidR="0025796B" w:rsidRPr="0025796B" w:rsidRDefault="0025796B" w:rsidP="00B34F59">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Energy sector</w:t>
            </w:r>
          </w:p>
        </w:tc>
        <w:tc>
          <w:tcPr>
            <w:tcW w:w="1809" w:type="dxa"/>
            <w:gridSpan w:val="2"/>
            <w:tcBorders>
              <w:top w:val="single" w:sz="4" w:space="0" w:color="auto"/>
            </w:tcBorders>
            <w:hideMark/>
          </w:tcPr>
          <w:p w:rsidR="0025796B" w:rsidRPr="0025796B" w:rsidRDefault="0025796B" w:rsidP="0025796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48</w:t>
            </w: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1(a)</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Mineral oil and gas refineries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16</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1(b)</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gasification and liquefaction</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2</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1(c)</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Thermal power stations and other combustion installations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heat input of 50 megawatts (MW)</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30</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5796B"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2</w:t>
            </w:r>
          </w:p>
        </w:tc>
        <w:tc>
          <w:tcPr>
            <w:tcW w:w="8050" w:type="dxa"/>
            <w:gridSpan w:val="2"/>
            <w:hideMark/>
          </w:tcPr>
          <w:p w:rsidR="0025796B" w:rsidRPr="0025796B" w:rsidRDefault="0025796B" w:rsidP="00B34F59">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Production and processing of metals</w:t>
            </w:r>
          </w:p>
        </w:tc>
        <w:tc>
          <w:tcPr>
            <w:tcW w:w="1809" w:type="dxa"/>
            <w:gridSpan w:val="2"/>
            <w:noWrap/>
            <w:hideMark/>
          </w:tcPr>
          <w:p w:rsidR="0025796B" w:rsidRPr="0025796B" w:rsidRDefault="0025796B" w:rsidP="0025796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17</w:t>
            </w: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2(c).</w:t>
            </w:r>
            <w:proofErr w:type="spellStart"/>
            <w:r w:rsidRPr="00B34F59">
              <w:rPr>
                <w:b w:val="0"/>
                <w:sz w:val="20"/>
                <w:szCs w:val="20"/>
              </w:rPr>
              <w:t>i</w:t>
            </w:r>
            <w:proofErr w:type="spellEnd"/>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Hot-rolling mills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of 20 tonnes of crude steel per hour</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2(c).ii</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B34F59">
              <w:rPr>
                <w:sz w:val="20"/>
                <w:szCs w:val="20"/>
              </w:rPr>
              <w:t>Smitheries</w:t>
            </w:r>
            <w:proofErr w:type="spellEnd"/>
            <w:r w:rsidRPr="00B34F59">
              <w:rPr>
                <w:sz w:val="20"/>
                <w:szCs w:val="20"/>
              </w:rPr>
              <w:t xml:space="preserve"> with hammers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an energy of 50 kilojoules per hammer, where the calorific power used exceeds 20 MW</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2(d)</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Ferrous metal foundries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production capacity of 20 tonnes per day</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2(e).</w:t>
            </w:r>
            <w:proofErr w:type="spellStart"/>
            <w:r w:rsidRPr="00B34F59">
              <w:rPr>
                <w:b w:val="0"/>
                <w:sz w:val="20"/>
                <w:szCs w:val="20"/>
              </w:rPr>
              <w:t>i</w:t>
            </w:r>
            <w:proofErr w:type="spellEnd"/>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For the production of non-ferrous crude metals from  ore, concentrates or secondary raw materials by  metallurgical, chemical or electrolytic processes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2</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2(e).ii</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For the smelting, including the alloying, of non-ferrous metals, including recovered products (refining, foundry casting, etc.)</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melting capacity of 4 tonnes per day for lead and cadmium or 20 tonnes per day for all other metals</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2</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2(f)</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surface treatment of metals and plastic materials using an electrolytic or chemical process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Where the volume of the treatment vats equals 30m3</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10</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25796B"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3</w:t>
            </w:r>
          </w:p>
        </w:tc>
        <w:tc>
          <w:tcPr>
            <w:tcW w:w="8050" w:type="dxa"/>
            <w:gridSpan w:val="2"/>
            <w:hideMark/>
          </w:tcPr>
          <w:p w:rsidR="0025796B" w:rsidRPr="0025796B" w:rsidRDefault="0025796B" w:rsidP="00B34F59">
            <w:pP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Mineral industry</w:t>
            </w:r>
          </w:p>
        </w:tc>
        <w:tc>
          <w:tcPr>
            <w:tcW w:w="1809" w:type="dxa"/>
            <w:gridSpan w:val="2"/>
            <w:noWrap/>
            <w:hideMark/>
          </w:tcPr>
          <w:p w:rsidR="0025796B" w:rsidRPr="0025796B" w:rsidRDefault="007F61AB" w:rsidP="0025796B">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29</w:t>
            </w: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3(a)</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Underground mining and related operations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3(b)</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Opencast mining</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Where the surface of the area being mined equals 25 hectares</w:t>
            </w:r>
          </w:p>
        </w:tc>
        <w:tc>
          <w:tcPr>
            <w:tcW w:w="0" w:type="auto"/>
            <w:noWrap/>
            <w:vAlign w:val="center"/>
            <w:hideMark/>
          </w:tcPr>
          <w:p w:rsidR="00B34F59" w:rsidRPr="00B34F59" w:rsidRDefault="00C4060F"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3(c).</w:t>
            </w:r>
            <w:proofErr w:type="spellStart"/>
            <w:r w:rsidRPr="00B34F59">
              <w:rPr>
                <w:b w:val="0"/>
                <w:sz w:val="20"/>
                <w:szCs w:val="20"/>
              </w:rPr>
              <w:t>i</w:t>
            </w:r>
            <w:proofErr w:type="spellEnd"/>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Cement clinker in rotary kilns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production capacity of 500 tonnes per day</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3(e)</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manufacture of glass, including glass fibre</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melting capacity of 20 tonnes per day</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3</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3(g)</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manufacture of ceramic products by firing, in particular roofing tiles, bricks, refractory bricks, tiles, stoneware or porcelain</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production capacity of 75 tonnes per day, or with a kiln capacity of 4m3 and with a setting density per kiln of 300 kg/m3</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25796B"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4</w:t>
            </w:r>
          </w:p>
        </w:tc>
        <w:tc>
          <w:tcPr>
            <w:tcW w:w="8050" w:type="dxa"/>
            <w:gridSpan w:val="2"/>
            <w:hideMark/>
          </w:tcPr>
          <w:p w:rsidR="0025796B" w:rsidRPr="0025796B" w:rsidRDefault="0025796B" w:rsidP="00B34F59">
            <w:pP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Chemical industry</w:t>
            </w:r>
          </w:p>
        </w:tc>
        <w:tc>
          <w:tcPr>
            <w:tcW w:w="1809" w:type="dxa"/>
            <w:gridSpan w:val="2"/>
            <w:noWrap/>
            <w:hideMark/>
          </w:tcPr>
          <w:p w:rsidR="0025796B" w:rsidRPr="0025796B" w:rsidRDefault="0025796B" w:rsidP="0025796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37</w:t>
            </w: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4(a)</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Chemical installations for the production on an industrial scale of basic organic chemicals, such as: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4(a).</w:t>
            </w:r>
            <w:proofErr w:type="spellStart"/>
            <w:r w:rsidRPr="00B34F59">
              <w:rPr>
                <w:b w:val="0"/>
                <w:sz w:val="20"/>
                <w:szCs w:val="20"/>
              </w:rPr>
              <w:t>i</w:t>
            </w:r>
            <w:proofErr w:type="spellEnd"/>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Simple hydrocarbons (linear or cyclic, saturated or  unsaturated, aliphatic or aromatic)</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4</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4(a).ii</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Oxygen-containing hydrocarbons such as alcohols,  aldehydes, ketones, carboxylic acids, esters,  acetates, ethers, peroxides, epoxy resins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3</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lastRenderedPageBreak/>
              <w:t>4(a).ix</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Synthetic rubbers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4(a).viii</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Basic plastic materials (polymers, synthetic fibres  and cellulose-based fibres)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4(a).x</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Dyes and pigments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4(b).</w:t>
            </w:r>
            <w:proofErr w:type="spellStart"/>
            <w:r w:rsidRPr="00B34F59">
              <w:rPr>
                <w:b w:val="0"/>
                <w:sz w:val="20"/>
                <w:szCs w:val="20"/>
              </w:rPr>
              <w:t>i</w:t>
            </w:r>
            <w:proofErr w:type="spellEnd"/>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Gases, such as ammonia, chlorine or hydrogen  chloride, fluorine or hydrogen fluoride, carbon  oxides, sulphur compounds, nitrogen oxides,  hydrogen, sulphur dioxide, carbonyl chloride</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7</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4(b).ii</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Acids, such as chromic acid, hydrofluoric acid,  phosphoric acid, nitric acid, hydrochloric acid,  sulphuric acid, oleum, sulphurous acids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2</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4(b).iv</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Salts, such as ammonium chloride, potassium  chlorate, potassium carbonate, sodium carbonate,  perborate, silver nitrate</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2</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4(b).v</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Non-metals, metal oxides or other inorganic  compounds such as calcium carbide, silicon, silicon  carbide</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6</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4(d)</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Chemical installations for the production on an industrial scale of basic plant health products and of biocides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2</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4(e)</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using a chemical or biological process for the production on an industrial scale of basic pharmaceutical products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6</w:t>
            </w:r>
          </w:p>
        </w:tc>
        <w:tc>
          <w:tcPr>
            <w:tcW w:w="933" w:type="dxa"/>
            <w:noWrap/>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4(f)</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production on an industrial scale of explosives and pyrotechnic products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w:t>
            </w:r>
          </w:p>
        </w:tc>
        <w:tc>
          <w:tcPr>
            <w:tcW w:w="933" w:type="dxa"/>
            <w:noWrap/>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r>
      <w:tr w:rsidR="0025796B"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5</w:t>
            </w:r>
          </w:p>
        </w:tc>
        <w:tc>
          <w:tcPr>
            <w:tcW w:w="8050" w:type="dxa"/>
            <w:gridSpan w:val="2"/>
            <w:hideMark/>
          </w:tcPr>
          <w:p w:rsidR="0025796B" w:rsidRPr="0025796B" w:rsidRDefault="0025796B" w:rsidP="00B34F59">
            <w:pP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Waste and waste-water management</w:t>
            </w:r>
          </w:p>
        </w:tc>
        <w:tc>
          <w:tcPr>
            <w:tcW w:w="1809" w:type="dxa"/>
            <w:gridSpan w:val="2"/>
            <w:noWrap/>
            <w:hideMark/>
          </w:tcPr>
          <w:p w:rsidR="0025796B" w:rsidRPr="0025796B" w:rsidRDefault="00776B94" w:rsidP="0025796B">
            <w:pPr>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494</w:t>
            </w: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5(a)</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recovery or disposal of hazardous waste.</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Receiving 10 tonnes per day</w:t>
            </w:r>
          </w:p>
        </w:tc>
        <w:tc>
          <w:tcPr>
            <w:tcW w:w="0" w:type="auto"/>
            <w:noWrap/>
            <w:vAlign w:val="center"/>
            <w:hideMark/>
          </w:tcPr>
          <w:p w:rsidR="00B34F59" w:rsidRPr="00B34F59" w:rsidRDefault="00776B94"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46</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4</w:t>
            </w: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5(b)</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incineration of municipal waste</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of 3 tonnes per hour</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14</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5(c)</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disposal of non-hazardous waste</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capacity of 50 tonnes per day</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13</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257</w:t>
            </w: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5(d)</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Landfills (excluding landfills of inert waste)</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Receiving 10 tonnes per day or with a total capacity of 25,000 tonnes</w:t>
            </w:r>
          </w:p>
        </w:tc>
        <w:tc>
          <w:tcPr>
            <w:tcW w:w="0" w:type="auto"/>
            <w:noWrap/>
            <w:vAlign w:val="center"/>
            <w:hideMark/>
          </w:tcPr>
          <w:p w:rsidR="00B34F59" w:rsidRPr="00B34F59" w:rsidRDefault="00776B94"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5(e)</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disposal or recycling of animal carcasses and animal waste</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treatment capacity of 10 tonnes per day</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9</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5(f).</w:t>
            </w:r>
            <w:proofErr w:type="spellStart"/>
            <w:r w:rsidRPr="00B34F59">
              <w:rPr>
                <w:b w:val="0"/>
                <w:sz w:val="20"/>
                <w:szCs w:val="20"/>
              </w:rPr>
              <w:t>i</w:t>
            </w:r>
            <w:proofErr w:type="spellEnd"/>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Municipal waste-water treatment plants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below 100,000 population equivalent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60</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5(f).ii</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Municipal waste-water treatment plants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capacity of 100,000 population equivalent</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14</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5(g)</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Independently operated industrial waste-water treatment plants which serve one or more activities of this list</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of 10,000m3 per day</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5796B"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6</w:t>
            </w:r>
          </w:p>
        </w:tc>
        <w:tc>
          <w:tcPr>
            <w:tcW w:w="8050" w:type="dxa"/>
            <w:gridSpan w:val="2"/>
            <w:hideMark/>
          </w:tcPr>
          <w:p w:rsidR="0025796B" w:rsidRPr="0025796B" w:rsidRDefault="0025796B" w:rsidP="00B34F59">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Paper and wood production and processing</w:t>
            </w:r>
          </w:p>
        </w:tc>
        <w:tc>
          <w:tcPr>
            <w:tcW w:w="1809" w:type="dxa"/>
            <w:gridSpan w:val="2"/>
            <w:noWrap/>
            <w:vAlign w:val="center"/>
            <w:hideMark/>
          </w:tcPr>
          <w:p w:rsidR="0025796B" w:rsidRPr="0025796B" w:rsidRDefault="0025796B" w:rsidP="0025796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36</w:t>
            </w: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6(a)</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Industrial plants for the production of pulp from timber or similar fibrous materials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6(b)</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Industrial plants for the production of paper and board and other primary wood products (such as chipboard, fibreboard and plywood)</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production capacity of 20 tonnes per day</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9</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6(c)</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Industrial plants for the preservation of wood and wood products with chemicals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production capacity of 50m3 per day</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26</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5796B"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7</w:t>
            </w:r>
          </w:p>
        </w:tc>
        <w:tc>
          <w:tcPr>
            <w:tcW w:w="8050" w:type="dxa"/>
            <w:gridSpan w:val="2"/>
            <w:hideMark/>
          </w:tcPr>
          <w:p w:rsidR="0025796B" w:rsidRPr="0025796B" w:rsidRDefault="0025796B" w:rsidP="00B34F59">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Intensive livestock production and aquaculture</w:t>
            </w:r>
          </w:p>
        </w:tc>
        <w:tc>
          <w:tcPr>
            <w:tcW w:w="1809" w:type="dxa"/>
            <w:gridSpan w:val="2"/>
            <w:noWrap/>
            <w:vAlign w:val="center"/>
            <w:hideMark/>
          </w:tcPr>
          <w:p w:rsidR="0025796B" w:rsidRPr="0025796B" w:rsidRDefault="00776B94" w:rsidP="0025796B">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508</w:t>
            </w: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7(a).</w:t>
            </w:r>
            <w:proofErr w:type="spellStart"/>
            <w:r w:rsidRPr="00B34F59">
              <w:rPr>
                <w:b w:val="0"/>
                <w:sz w:val="20"/>
                <w:szCs w:val="20"/>
              </w:rPr>
              <w:t>i</w:t>
            </w:r>
            <w:proofErr w:type="spellEnd"/>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intensive rearing of poultry</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40,000 places for poultry</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99</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7(a).ii</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intensive rearing of pigs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2,000 places for production pigs (over 30 kg)</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14</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7(a).iii</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intensive rearing of pigs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750 places for sows</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2</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lastRenderedPageBreak/>
              <w:t>7(b).</w:t>
            </w:r>
            <w:proofErr w:type="spellStart"/>
            <w:r w:rsidRPr="00B34F59">
              <w:rPr>
                <w:b w:val="0"/>
                <w:sz w:val="20"/>
                <w:szCs w:val="20"/>
              </w:rPr>
              <w:t>i</w:t>
            </w:r>
            <w:proofErr w:type="spellEnd"/>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Intensive aquaculture</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Not exceeding 1,000 tonnes of fish and shellfish per year</w:t>
            </w:r>
          </w:p>
        </w:tc>
        <w:tc>
          <w:tcPr>
            <w:tcW w:w="0" w:type="auto"/>
            <w:noWrap/>
            <w:vAlign w:val="center"/>
            <w:hideMark/>
          </w:tcPr>
          <w:p w:rsidR="00B34F59" w:rsidRPr="00B34F59" w:rsidRDefault="008D46A1" w:rsidP="00776B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r w:rsidR="00776B94">
              <w:rPr>
                <w:sz w:val="20"/>
                <w:szCs w:val="20"/>
              </w:rPr>
              <w:t>6</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7(b).ii</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Intensive aquaculture</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1,000 tonnes of fish and shellfish per year</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207</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5796B"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8</w:t>
            </w:r>
          </w:p>
        </w:tc>
        <w:tc>
          <w:tcPr>
            <w:tcW w:w="8050" w:type="dxa"/>
            <w:gridSpan w:val="2"/>
            <w:hideMark/>
          </w:tcPr>
          <w:p w:rsidR="0025796B" w:rsidRPr="0025796B" w:rsidRDefault="0025796B" w:rsidP="00B34F59">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Animal and vegetable products from the food and beverage sector</w:t>
            </w:r>
          </w:p>
        </w:tc>
        <w:tc>
          <w:tcPr>
            <w:tcW w:w="1809" w:type="dxa"/>
            <w:gridSpan w:val="2"/>
            <w:noWrap/>
            <w:vAlign w:val="center"/>
            <w:hideMark/>
          </w:tcPr>
          <w:p w:rsidR="0025796B" w:rsidRPr="00404258" w:rsidRDefault="0025796B" w:rsidP="0025796B">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404258">
              <w:rPr>
                <w:b/>
                <w:bCs/>
                <w:sz w:val="20"/>
                <w:szCs w:val="20"/>
              </w:rPr>
              <w:t>59</w:t>
            </w: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8(a)</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Slaughterhouses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carcass production capacity of 50 tonnes per day</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18</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8(b).</w:t>
            </w:r>
            <w:proofErr w:type="spellStart"/>
            <w:r w:rsidRPr="00B34F59">
              <w:rPr>
                <w:b w:val="0"/>
                <w:sz w:val="20"/>
                <w:szCs w:val="20"/>
              </w:rPr>
              <w:t>i</w:t>
            </w:r>
            <w:proofErr w:type="spellEnd"/>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t>
            </w:r>
            <w:proofErr w:type="spellStart"/>
            <w:r w:rsidRPr="00B34F59">
              <w:rPr>
                <w:sz w:val="20"/>
                <w:szCs w:val="20"/>
              </w:rPr>
              <w:t>i</w:t>
            </w:r>
            <w:proofErr w:type="spellEnd"/>
            <w:r w:rsidRPr="00B34F59">
              <w:rPr>
                <w:sz w:val="20"/>
                <w:szCs w:val="20"/>
              </w:rPr>
              <w:t>) Animal raw materials (other than milk)</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finished product production capacity of 75 tonnes per day</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15</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8(b).ii</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(ii) Vegetable raw materials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finished product production capacity of 300 tonnes per day (average value on a quarterly basis)</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20</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8(c)</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Treatment and processing of milk</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capacity to receive 200 tonnes of milk or more per day (average value on an annual basis)</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6</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5796B"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9</w:t>
            </w:r>
          </w:p>
        </w:tc>
        <w:tc>
          <w:tcPr>
            <w:tcW w:w="8050" w:type="dxa"/>
            <w:gridSpan w:val="2"/>
            <w:hideMark/>
          </w:tcPr>
          <w:p w:rsidR="0025796B" w:rsidRPr="0025796B" w:rsidRDefault="0025796B" w:rsidP="00B34F59">
            <w:pP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Other activities</w:t>
            </w:r>
          </w:p>
        </w:tc>
        <w:tc>
          <w:tcPr>
            <w:tcW w:w="1809" w:type="dxa"/>
            <w:gridSpan w:val="2"/>
            <w:noWrap/>
            <w:vAlign w:val="center"/>
            <w:hideMark/>
          </w:tcPr>
          <w:p w:rsidR="0025796B" w:rsidRPr="0025796B" w:rsidRDefault="0025796B" w:rsidP="0025796B">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5796B">
              <w:rPr>
                <w:b/>
                <w:bCs/>
                <w:sz w:val="20"/>
                <w:szCs w:val="20"/>
              </w:rPr>
              <w:t>21</w:t>
            </w: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9(a)</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Plants for the pre-treatment (operations such as washing, bleaching, mercerization) or dyeing of fibres or textiles</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treatment capacity of 10 tonnes per day</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2</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9(b)</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Plants for the tanning of hides and skins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treatment capacity of 12 tonnes of finished product per day</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3</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9(c)</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Installations for the surface treatment of substances, objects or products using organic solvents, in particular for dressing, printing, coating, degreasing, waterproofing, sizing, painting, cleaning or impregnating</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With a consumption capacity of 150 kg per hour or 200 tonnes per year</w:t>
            </w:r>
          </w:p>
        </w:tc>
        <w:tc>
          <w:tcPr>
            <w:tcW w:w="0" w:type="auto"/>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13</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9(e)</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Installations for the building of, and painting or removal of paint from ships</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With a capacity for ships 100m long</w:t>
            </w: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3</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5796B"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25796B" w:rsidRPr="0025796B" w:rsidRDefault="0025796B" w:rsidP="00B34F59">
            <w:pPr>
              <w:rPr>
                <w:sz w:val="20"/>
                <w:szCs w:val="20"/>
              </w:rPr>
            </w:pPr>
            <w:r w:rsidRPr="0025796B">
              <w:rPr>
                <w:sz w:val="20"/>
                <w:szCs w:val="20"/>
              </w:rPr>
              <w:t>10</w:t>
            </w:r>
          </w:p>
        </w:tc>
        <w:tc>
          <w:tcPr>
            <w:tcW w:w="8050" w:type="dxa"/>
            <w:gridSpan w:val="2"/>
            <w:hideMark/>
          </w:tcPr>
          <w:p w:rsidR="0025796B" w:rsidRPr="0025796B" w:rsidRDefault="0025796B" w:rsidP="00B34F59">
            <w:pPr>
              <w:cnfStyle w:val="000000100000" w:firstRow="0" w:lastRow="0" w:firstColumn="0" w:lastColumn="0" w:oddVBand="0" w:evenVBand="0" w:oddHBand="1" w:evenHBand="0" w:firstRowFirstColumn="0" w:firstRowLastColumn="0" w:lastRowFirstColumn="0" w:lastRowLastColumn="0"/>
              <w:rPr>
                <w:b/>
                <w:bCs/>
                <w:sz w:val="20"/>
                <w:szCs w:val="20"/>
              </w:rPr>
            </w:pPr>
            <w:r w:rsidRPr="0025796B">
              <w:rPr>
                <w:b/>
                <w:bCs/>
                <w:sz w:val="20"/>
                <w:szCs w:val="20"/>
              </w:rPr>
              <w:t>Radioactive Substances Act Activities</w:t>
            </w:r>
          </w:p>
        </w:tc>
        <w:tc>
          <w:tcPr>
            <w:tcW w:w="1809" w:type="dxa"/>
            <w:gridSpan w:val="2"/>
            <w:noWrap/>
            <w:vAlign w:val="center"/>
            <w:hideMark/>
          </w:tcPr>
          <w:p w:rsidR="0025796B" w:rsidRPr="0025796B" w:rsidRDefault="008D46A1" w:rsidP="008D46A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78</w:t>
            </w:r>
          </w:p>
        </w:tc>
      </w:tr>
      <w:tr w:rsidR="00B34F59"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10(a)</w:t>
            </w:r>
          </w:p>
        </w:tc>
        <w:tc>
          <w:tcPr>
            <w:tcW w:w="4387"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Activities at Band A premises under the Radioactive Substances Act 1993 Fees and Charging (Scotland) Scheme 2004</w:t>
            </w:r>
          </w:p>
        </w:tc>
        <w:tc>
          <w:tcPr>
            <w:tcW w:w="3663" w:type="dxa"/>
            <w:hideMark/>
          </w:tcPr>
          <w:p w:rsidR="00B34F59" w:rsidRPr="00B34F59" w:rsidRDefault="00B34F59" w:rsidP="00B34F59">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r w:rsidRPr="00B34F59">
              <w:rPr>
                <w:sz w:val="20"/>
                <w:szCs w:val="20"/>
              </w:rPr>
              <w:t>5</w:t>
            </w:r>
          </w:p>
        </w:tc>
        <w:tc>
          <w:tcPr>
            <w:tcW w:w="933" w:type="dxa"/>
            <w:noWrap/>
            <w:vAlign w:val="center"/>
            <w:hideMark/>
          </w:tcPr>
          <w:p w:rsidR="00B34F59" w:rsidRPr="00B34F59" w:rsidRDefault="00B34F59" w:rsidP="0025796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4F59" w:rsidRPr="00B34F59" w:rsidTr="00B637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1" w:type="dxa"/>
            <w:noWrap/>
            <w:hideMark/>
          </w:tcPr>
          <w:p w:rsidR="00B34F59" w:rsidRPr="00B34F59" w:rsidRDefault="00B34F59" w:rsidP="00B34F59">
            <w:pPr>
              <w:rPr>
                <w:b w:val="0"/>
                <w:sz w:val="20"/>
                <w:szCs w:val="20"/>
              </w:rPr>
            </w:pPr>
            <w:r w:rsidRPr="00B34F59">
              <w:rPr>
                <w:b w:val="0"/>
                <w:sz w:val="20"/>
                <w:szCs w:val="20"/>
              </w:rPr>
              <w:t>10(b)</w:t>
            </w:r>
          </w:p>
        </w:tc>
        <w:tc>
          <w:tcPr>
            <w:tcW w:w="4387"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r w:rsidRPr="00B34F59">
              <w:rPr>
                <w:sz w:val="20"/>
                <w:szCs w:val="20"/>
              </w:rPr>
              <w:t>Activities at Band B premises under the Radioactive Substances Act 1993 Fees and Charging (Scotland) Scheme 2004</w:t>
            </w:r>
          </w:p>
        </w:tc>
        <w:tc>
          <w:tcPr>
            <w:tcW w:w="3663" w:type="dxa"/>
            <w:hideMark/>
          </w:tcPr>
          <w:p w:rsidR="00B34F59" w:rsidRPr="00B34F59" w:rsidRDefault="00B34F59" w:rsidP="00B34F59">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noWrap/>
            <w:vAlign w:val="center"/>
            <w:hideMark/>
          </w:tcPr>
          <w:p w:rsidR="00B34F59" w:rsidRPr="00B34F59" w:rsidRDefault="00C4060F"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c>
          <w:tcPr>
            <w:tcW w:w="933" w:type="dxa"/>
            <w:noWrap/>
            <w:vAlign w:val="center"/>
            <w:hideMark/>
          </w:tcPr>
          <w:p w:rsidR="00B34F59" w:rsidRPr="00B34F59" w:rsidRDefault="00B34F59" w:rsidP="0025796B">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5796B" w:rsidRPr="00B34F59" w:rsidTr="00B6374F">
        <w:trPr>
          <w:trHeight w:val="20"/>
        </w:trPr>
        <w:tc>
          <w:tcPr>
            <w:cnfStyle w:val="001000000000" w:firstRow="0" w:lastRow="0" w:firstColumn="1" w:lastColumn="0" w:oddVBand="0" w:evenVBand="0" w:oddHBand="0" w:evenHBand="0" w:firstRowFirstColumn="0" w:firstRowLastColumn="0" w:lastRowFirstColumn="0" w:lastRowLastColumn="0"/>
            <w:tcW w:w="8761" w:type="dxa"/>
            <w:gridSpan w:val="3"/>
            <w:noWrap/>
            <w:vAlign w:val="center"/>
            <w:hideMark/>
          </w:tcPr>
          <w:p w:rsidR="0025796B" w:rsidRPr="006C54DC" w:rsidRDefault="0025796B" w:rsidP="0025796B">
            <w:pPr>
              <w:rPr>
                <w:szCs w:val="20"/>
              </w:rPr>
            </w:pPr>
            <w:r w:rsidRPr="006C54DC">
              <w:rPr>
                <w:szCs w:val="20"/>
              </w:rPr>
              <w:t>Total sites required to report to SPRI in 2019</w:t>
            </w:r>
          </w:p>
        </w:tc>
        <w:tc>
          <w:tcPr>
            <w:tcW w:w="1809" w:type="dxa"/>
            <w:gridSpan w:val="2"/>
            <w:noWrap/>
            <w:vAlign w:val="center"/>
            <w:hideMark/>
          </w:tcPr>
          <w:p w:rsidR="0025796B" w:rsidRPr="006C54DC" w:rsidRDefault="008D46A1" w:rsidP="0025796B">
            <w:pPr>
              <w:jc w:val="center"/>
              <w:cnfStyle w:val="000000000000" w:firstRow="0" w:lastRow="0" w:firstColumn="0" w:lastColumn="0" w:oddVBand="0" w:evenVBand="0" w:oddHBand="0" w:evenHBand="0" w:firstRowFirstColumn="0" w:firstRowLastColumn="0" w:lastRowFirstColumn="0" w:lastRowLastColumn="0"/>
              <w:rPr>
                <w:b/>
                <w:bCs/>
                <w:szCs w:val="20"/>
              </w:rPr>
            </w:pPr>
            <w:r>
              <w:rPr>
                <w:b/>
                <w:bCs/>
                <w:szCs w:val="20"/>
              </w:rPr>
              <w:t>1327</w:t>
            </w:r>
          </w:p>
        </w:tc>
      </w:tr>
    </w:tbl>
    <w:p w:rsidR="006C54DC" w:rsidRDefault="006C54DC" w:rsidP="00317410"/>
    <w:p w:rsidR="00C4060F" w:rsidRPr="00936A97" w:rsidRDefault="00C66EE1" w:rsidP="00317410">
      <w:r w:rsidRPr="00936A97">
        <w:t>Excluding sites whose data is taken from the Waste</w:t>
      </w:r>
      <w:r w:rsidR="00B6374F" w:rsidRPr="00936A97">
        <w:t xml:space="preserve"> reporting </w:t>
      </w:r>
      <w:r w:rsidR="001F1D9E">
        <w:t>system, 13</w:t>
      </w:r>
      <w:r w:rsidRPr="00936A97">
        <w:t xml:space="preserve"> sites </w:t>
      </w:r>
      <w:r w:rsidR="00711396">
        <w:t>have not yet submitted</w:t>
      </w:r>
      <w:r w:rsidRPr="00936A97">
        <w:t xml:space="preserve"> SPRI returns</w:t>
      </w:r>
      <w:r w:rsidR="00767E08" w:rsidRPr="00936A97">
        <w:t xml:space="preserve"> for 2019</w:t>
      </w:r>
      <w:r w:rsidR="00945D98">
        <w:t>.</w:t>
      </w:r>
      <w:r w:rsidR="001F1D9E">
        <w:t xml:space="preserve"> </w:t>
      </w:r>
      <w:r w:rsidR="00945D98">
        <w:t>A</w:t>
      </w:r>
      <w:r w:rsidR="001F1D9E">
        <w:t>ll</w:t>
      </w:r>
      <w:r w:rsidR="00767E08" w:rsidRPr="00936A97">
        <w:t xml:space="preserve"> are </w:t>
      </w:r>
      <w:r w:rsidR="00CD7BCB">
        <w:t xml:space="preserve">non-operational and the majority are </w:t>
      </w:r>
      <w:r w:rsidR="00767E08" w:rsidRPr="00936A97">
        <w:t xml:space="preserve">either </w:t>
      </w:r>
      <w:r w:rsidRPr="00936A97">
        <w:t>in administration</w:t>
      </w:r>
      <w:r w:rsidR="00767E08" w:rsidRPr="00936A97">
        <w:t xml:space="preserve"> or abandoned</w:t>
      </w:r>
      <w:r w:rsidRPr="00936A97">
        <w:t>.</w:t>
      </w:r>
    </w:p>
    <w:p w:rsidR="00E03781" w:rsidRDefault="00E03781">
      <w:pPr>
        <w:rPr>
          <w:rFonts w:eastAsiaTheme="majorEastAsia" w:cstheme="majorBidi"/>
          <w:b/>
          <w:iCs/>
          <w:u w:val="single"/>
        </w:rPr>
      </w:pPr>
      <w:r>
        <w:br w:type="page"/>
      </w:r>
    </w:p>
    <w:p w:rsidR="00110960" w:rsidRDefault="00D151FF" w:rsidP="00D151FF">
      <w:pPr>
        <w:pStyle w:val="Heading4"/>
      </w:pPr>
      <w:r>
        <w:lastRenderedPageBreak/>
        <w:t xml:space="preserve">Pollutants reported by </w:t>
      </w:r>
      <w:r w:rsidR="006205E1">
        <w:t xml:space="preserve">Activity </w:t>
      </w:r>
      <w:r>
        <w:t>code</w:t>
      </w:r>
    </w:p>
    <w:p w:rsidR="00B95D0A" w:rsidRDefault="00B95D0A"/>
    <w:p w:rsidR="0087785D" w:rsidRPr="00936A97" w:rsidRDefault="00232B61">
      <w:r w:rsidRPr="00936A97">
        <w:t>As noted above, the quantitative figures provided in this statistical release include only those reports of pollutants at levels above reporting thresholds (ART). SPRI also requires</w:t>
      </w:r>
      <w:r w:rsidR="004B24A5">
        <w:t xml:space="preserve"> all</w:t>
      </w:r>
      <w:r w:rsidRPr="00936A97">
        <w:t xml:space="preserve"> sites to report where they do emit a pollutant but at a level below reporting thresholds (BRT), and there may be substantial numbers of these unquantified minor releases. </w:t>
      </w:r>
    </w:p>
    <w:p w:rsidR="00EB2CA5" w:rsidRPr="00936A97" w:rsidRDefault="00EB2CA5">
      <w:r w:rsidRPr="00936A97">
        <w:t xml:space="preserve">The graph shows </w:t>
      </w:r>
      <w:r w:rsidR="004B24A5">
        <w:t>the total number of</w:t>
      </w:r>
      <w:r w:rsidRPr="00936A97">
        <w:t xml:space="preserve"> individual pollutant release</w:t>
      </w:r>
      <w:r w:rsidR="00BA76D5">
        <w:t>s</w:t>
      </w:r>
      <w:r w:rsidRPr="00936A97">
        <w:t xml:space="preserve"> reported by each industry sector, identified as either ART or BRT. </w:t>
      </w:r>
      <w:r w:rsidR="00E42357" w:rsidRPr="00936A97">
        <w:t>F</w:t>
      </w:r>
      <w:r w:rsidRPr="00936A97">
        <w:t xml:space="preserve">or </w:t>
      </w:r>
      <w:r w:rsidR="00BA76D5">
        <w:t>example, Energy sector sites reported 556 individual emissions, of which 157 were ART.</w:t>
      </w:r>
      <w:r w:rsidR="00AA4644">
        <w:t xml:space="preserve"> (Tables 2 and 4 show more detail on the numbers of sites reporting each pollutant at ART).</w:t>
      </w:r>
    </w:p>
    <w:p w:rsidR="00EB2CA5" w:rsidRPr="00936A97" w:rsidRDefault="00EB2CA5">
      <w:r w:rsidRPr="00936A97">
        <w:t>A full breakdown by pollutant is included in the accompanying dat</w:t>
      </w:r>
      <w:r w:rsidR="00E42357" w:rsidRPr="00936A97">
        <w:t>asheet.</w:t>
      </w:r>
    </w:p>
    <w:p w:rsidR="00B95D0A" w:rsidRPr="00661F7D" w:rsidRDefault="0094785C" w:rsidP="00B95D0A">
      <w:pPr>
        <w:rPr>
          <w:i/>
        </w:rPr>
      </w:pPr>
      <w:r>
        <w:rPr>
          <w:i/>
        </w:rPr>
        <w:t>Figure</w:t>
      </w:r>
      <w:r w:rsidR="004C66F0">
        <w:rPr>
          <w:i/>
        </w:rPr>
        <w:t xml:space="preserve"> </w:t>
      </w:r>
      <w:r w:rsidR="007F3CE8">
        <w:rPr>
          <w:i/>
        </w:rPr>
        <w:t>8</w:t>
      </w:r>
      <w:r w:rsidR="00B95D0A" w:rsidRPr="00661F7D">
        <w:rPr>
          <w:i/>
        </w:rPr>
        <w:t xml:space="preserve">: Number of </w:t>
      </w:r>
      <w:r w:rsidR="00E42357">
        <w:rPr>
          <w:i/>
        </w:rPr>
        <w:t>individually-reported</w:t>
      </w:r>
      <w:r w:rsidR="00B95D0A" w:rsidRPr="00661F7D">
        <w:rPr>
          <w:i/>
        </w:rPr>
        <w:t xml:space="preserve"> pollutants emitted </w:t>
      </w:r>
      <w:r w:rsidR="00E42357">
        <w:rPr>
          <w:i/>
        </w:rPr>
        <w:t>to both media</w:t>
      </w:r>
      <w:r w:rsidR="00B95D0A" w:rsidRPr="00661F7D">
        <w:rPr>
          <w:i/>
        </w:rPr>
        <w:t xml:space="preserve"> at above and below reporting thresholds in each industry area</w:t>
      </w:r>
      <w:r w:rsidR="007F61AB">
        <w:rPr>
          <w:i/>
        </w:rPr>
        <w:t xml:space="preserve"> for 2019</w:t>
      </w:r>
    </w:p>
    <w:p w:rsidR="0021319C" w:rsidRPr="00EB2CA5" w:rsidRDefault="000B71D8" w:rsidP="0021319C">
      <w:r>
        <w:rPr>
          <w:noProof/>
          <w:lang w:eastAsia="en-GB"/>
        </w:rPr>
        <w:drawing>
          <wp:inline distT="0" distB="0" distL="0" distR="0" wp14:anchorId="7FB33387" wp14:editId="1408BDC7">
            <wp:extent cx="6645910" cy="4853940"/>
            <wp:effectExtent l="0" t="0" r="254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32B61" w:rsidRDefault="00232B61"/>
    <w:p w:rsidR="009422D4" w:rsidRDefault="009422D4">
      <w:r>
        <w:br w:type="page"/>
      </w:r>
    </w:p>
    <w:p w:rsidR="00D03D6B" w:rsidRDefault="009569C3" w:rsidP="002A0C35">
      <w:pPr>
        <w:pStyle w:val="Heading2"/>
      </w:pPr>
      <w:bookmarkStart w:id="10" w:name="_Toc51591148"/>
      <w:r>
        <w:lastRenderedPageBreak/>
        <w:t>2.</w:t>
      </w:r>
      <w:r w:rsidR="00520861" w:rsidRPr="002A0C35">
        <w:t xml:space="preserve"> </w:t>
      </w:r>
      <w:proofErr w:type="gramStart"/>
      <w:r w:rsidR="00D03D6B">
        <w:t>About</w:t>
      </w:r>
      <w:proofErr w:type="gramEnd"/>
      <w:r w:rsidR="00D03D6B">
        <w:t xml:space="preserve"> this Experimental Statistic</w:t>
      </w:r>
      <w:bookmarkEnd w:id="10"/>
    </w:p>
    <w:p w:rsidR="00AA4644" w:rsidRPr="00AA4644" w:rsidRDefault="00AA4644" w:rsidP="00AA4644">
      <w:pPr>
        <w:rPr>
          <w:bCs/>
        </w:rPr>
      </w:pPr>
    </w:p>
    <w:p w:rsidR="00AA4644" w:rsidRDefault="00AA4644" w:rsidP="00AA4644">
      <w:pPr>
        <w:rPr>
          <w:bCs/>
        </w:rPr>
      </w:pPr>
      <w:r w:rsidRPr="00AA4644">
        <w:rPr>
          <w:bCs/>
        </w:rPr>
        <w:t>Experimental statistics are a subset of newly developed or innovative official statistics that are undergoing evaluation. They are published in order to involve users and stakeholders at an early stage in assessing their suitability and quality.</w:t>
      </w:r>
    </w:p>
    <w:p w:rsidR="00DC5D19" w:rsidRDefault="009569C3" w:rsidP="00DC5D19">
      <w:pPr>
        <w:pStyle w:val="Heading3"/>
      </w:pPr>
      <w:bookmarkStart w:id="11" w:name="_Toc51591149"/>
      <w:r>
        <w:t xml:space="preserve">2.1 </w:t>
      </w:r>
      <w:r w:rsidR="00DC5D19">
        <w:t>Scope of this statistical release</w:t>
      </w:r>
      <w:bookmarkEnd w:id="11"/>
    </w:p>
    <w:p w:rsidR="00DC5D19" w:rsidRDefault="00DC5D19" w:rsidP="00B03717">
      <w:pPr>
        <w:spacing w:after="0"/>
        <w:rPr>
          <w:bCs/>
          <w:color w:val="0000FF"/>
        </w:rPr>
      </w:pPr>
    </w:p>
    <w:p w:rsidR="000308C0" w:rsidRPr="00B03717" w:rsidRDefault="00230B2E" w:rsidP="00DC5D19">
      <w:pPr>
        <w:rPr>
          <w:bCs/>
        </w:rPr>
      </w:pPr>
      <w:r w:rsidRPr="00B03717">
        <w:rPr>
          <w:bCs/>
        </w:rPr>
        <w:t>W</w:t>
      </w:r>
      <w:r w:rsidR="00DC5D19" w:rsidRPr="00B03717">
        <w:rPr>
          <w:bCs/>
        </w:rPr>
        <w:t xml:space="preserve">e have focussed on the emissions of pollutants to the environment and on off-site waste transfers from non-waste sites, as these are the areas where SEPA receives the most enquiries, and where SPRI provides data which is both significant and unavailable elsewhere. </w:t>
      </w:r>
      <w:r w:rsidR="000308C0" w:rsidRPr="00B03717">
        <w:rPr>
          <w:bCs/>
        </w:rPr>
        <w:t>We have not included data on the areas below but all are available from the SEPA website’s SPRI pages and on Scotland’s Environment Web:</w:t>
      </w:r>
    </w:p>
    <w:p w:rsidR="000308C0" w:rsidRPr="00B03717" w:rsidRDefault="000308C0" w:rsidP="000308C0">
      <w:pPr>
        <w:pStyle w:val="ListParagraph"/>
        <w:numPr>
          <w:ilvl w:val="0"/>
          <w:numId w:val="11"/>
        </w:numPr>
        <w:rPr>
          <w:bCs/>
        </w:rPr>
      </w:pPr>
      <w:r w:rsidRPr="00B03717">
        <w:rPr>
          <w:bCs/>
        </w:rPr>
        <w:t xml:space="preserve">radioactive substances </w:t>
      </w:r>
    </w:p>
    <w:p w:rsidR="00DC5D19" w:rsidRPr="00B03717" w:rsidRDefault="000308C0" w:rsidP="000308C0">
      <w:pPr>
        <w:pStyle w:val="ListParagraph"/>
        <w:numPr>
          <w:ilvl w:val="0"/>
          <w:numId w:val="11"/>
        </w:numPr>
        <w:rPr>
          <w:bCs/>
        </w:rPr>
      </w:pPr>
      <w:r w:rsidRPr="00B03717">
        <w:rPr>
          <w:bCs/>
        </w:rPr>
        <w:t>releases to waste water</w:t>
      </w:r>
    </w:p>
    <w:p w:rsidR="000308C0" w:rsidRPr="00B03717" w:rsidRDefault="000308C0" w:rsidP="000308C0">
      <w:pPr>
        <w:pStyle w:val="ListParagraph"/>
        <w:numPr>
          <w:ilvl w:val="0"/>
          <w:numId w:val="11"/>
        </w:numPr>
        <w:rPr>
          <w:bCs/>
        </w:rPr>
      </w:pPr>
      <w:r w:rsidRPr="00B03717">
        <w:rPr>
          <w:bCs/>
        </w:rPr>
        <w:t>off-site waste transfers from waste sector sites</w:t>
      </w:r>
    </w:p>
    <w:p w:rsidR="00DC5D19" w:rsidRPr="00B03717" w:rsidRDefault="00DC5D19" w:rsidP="00A20942">
      <w:pPr>
        <w:rPr>
          <w:bCs/>
        </w:rPr>
      </w:pPr>
    </w:p>
    <w:p w:rsidR="00A20942" w:rsidRPr="00B03717" w:rsidRDefault="009569C3" w:rsidP="007572EA">
      <w:pPr>
        <w:pStyle w:val="Heading3"/>
      </w:pPr>
      <w:bookmarkStart w:id="12" w:name="_Toc51591150"/>
      <w:r>
        <w:t xml:space="preserve">2.2 </w:t>
      </w:r>
      <w:r w:rsidR="00A20942" w:rsidRPr="00B03717">
        <w:t>User statement</w:t>
      </w:r>
      <w:bookmarkEnd w:id="12"/>
      <w:r w:rsidR="00793B3D" w:rsidRPr="00B03717">
        <w:t xml:space="preserve"> </w:t>
      </w:r>
      <w:r w:rsidR="00DC5D19" w:rsidRPr="00B03717">
        <w:t xml:space="preserve"> </w:t>
      </w:r>
    </w:p>
    <w:p w:rsidR="00F1381E" w:rsidRPr="00B03717" w:rsidRDefault="00F1381E" w:rsidP="00B03717">
      <w:pPr>
        <w:spacing w:after="0"/>
        <w:rPr>
          <w:lang w:val="en"/>
        </w:rPr>
      </w:pPr>
    </w:p>
    <w:p w:rsidR="00F1381E" w:rsidRPr="00B03717" w:rsidRDefault="00F1381E" w:rsidP="00F1381E">
      <w:pPr>
        <w:rPr>
          <w:lang w:val="en"/>
        </w:rPr>
      </w:pPr>
      <w:r w:rsidRPr="00B03717">
        <w:rPr>
          <w:lang w:val="en"/>
        </w:rPr>
        <w:t xml:space="preserve">The SPRI helps the United Kingdom fulfil its obligation under the </w:t>
      </w:r>
      <w:hyperlink r:id="rId24" w:tgtFrame="_blank" w:history="1">
        <w:r w:rsidRPr="008A2020">
          <w:rPr>
            <w:rStyle w:val="Hyperlink"/>
            <w:lang w:val="en"/>
          </w:rPr>
          <w:t>UNECE (United Nations Economic Commission for Europe) PRTR Protocol</w:t>
        </w:r>
      </w:hyperlink>
      <w:r w:rsidRPr="00B03717">
        <w:rPr>
          <w:lang w:val="en"/>
        </w:rPr>
        <w:t xml:space="preserve"> to the </w:t>
      </w:r>
      <w:hyperlink r:id="rId25" w:tgtFrame="_blank" w:history="1">
        <w:r w:rsidRPr="008A2020">
          <w:rPr>
            <w:rStyle w:val="Hyperlink"/>
            <w:color w:val="2E74B5" w:themeColor="accent1" w:themeShade="BF"/>
            <w:lang w:val="en"/>
          </w:rPr>
          <w:t>Aarhus Convention</w:t>
        </w:r>
      </w:hyperlink>
      <w:r w:rsidRPr="00B03717">
        <w:rPr>
          <w:lang w:val="en"/>
        </w:rPr>
        <w:t xml:space="preserve"> on Access to Information, Public Participation in Decision-making and Access to Justice in Environmental Matters to produce a public</w:t>
      </w:r>
      <w:r w:rsidR="002E1FC5">
        <w:rPr>
          <w:lang w:val="en"/>
        </w:rPr>
        <w:t>ly</w:t>
      </w:r>
      <w:r w:rsidRPr="00B03717">
        <w:rPr>
          <w:lang w:val="en"/>
        </w:rPr>
        <w:t xml:space="preserve"> available national PRTR system. The </w:t>
      </w:r>
      <w:hyperlink r:id="rId26" w:tgtFrame="_blank" w:history="1">
        <w:r w:rsidRPr="008A2020">
          <w:rPr>
            <w:rStyle w:val="Hyperlink"/>
            <w:lang w:val="en"/>
          </w:rPr>
          <w:t>United Kingdom PRTR</w:t>
        </w:r>
      </w:hyperlink>
      <w:r w:rsidRPr="00B03717">
        <w:rPr>
          <w:lang w:val="en"/>
        </w:rPr>
        <w:t xml:space="preserve"> contains the annual E-PRTR data for Scotland, Northern Ireland, England and Wales and is used to fulfil the reporting requirements of the </w:t>
      </w:r>
      <w:hyperlink r:id="rId27" w:tgtFrame="_blank" w:history="1">
        <w:r w:rsidRPr="008A2020">
          <w:rPr>
            <w:rStyle w:val="Hyperlink"/>
            <w:color w:val="2E74B5" w:themeColor="accent1" w:themeShade="BF"/>
            <w:lang w:val="en"/>
          </w:rPr>
          <w:t>European Pollutant Release and Transfer Register (E-PRTR) Regulation</w:t>
        </w:r>
      </w:hyperlink>
      <w:r w:rsidR="006326E6">
        <w:rPr>
          <w:lang w:val="en"/>
        </w:rPr>
        <w:t>,</w:t>
      </w:r>
      <w:r w:rsidR="006326E6" w:rsidRPr="006326E6">
        <w:rPr>
          <w:lang w:val="en"/>
        </w:rPr>
        <w:t xml:space="preserve"> the </w:t>
      </w:r>
      <w:hyperlink r:id="rId28" w:history="1">
        <w:r w:rsidR="006326E6" w:rsidRPr="006326E6">
          <w:rPr>
            <w:rStyle w:val="Hyperlink"/>
            <w:lang w:val="en"/>
          </w:rPr>
          <w:t>EU Industrial Emissions Directive</w:t>
        </w:r>
      </w:hyperlink>
      <w:r w:rsidR="006326E6" w:rsidRPr="006326E6">
        <w:rPr>
          <w:lang w:val="en"/>
        </w:rPr>
        <w:t xml:space="preserve"> and the </w:t>
      </w:r>
      <w:hyperlink r:id="rId29" w:history="1">
        <w:r w:rsidR="006326E6" w:rsidRPr="006326E6">
          <w:rPr>
            <w:rStyle w:val="Hyperlink"/>
            <w:lang w:val="en"/>
          </w:rPr>
          <w:t>EU INSPIRE Directive</w:t>
        </w:r>
      </w:hyperlink>
      <w:r w:rsidR="006326E6">
        <w:rPr>
          <w:lang w:val="en"/>
        </w:rPr>
        <w:t>.</w:t>
      </w:r>
    </w:p>
    <w:p w:rsidR="006326E6" w:rsidRPr="00B03717" w:rsidRDefault="006326E6" w:rsidP="00F1381E">
      <w:pPr>
        <w:rPr>
          <w:lang w:val="en"/>
        </w:rPr>
      </w:pPr>
      <w:r w:rsidRPr="00B03717">
        <w:rPr>
          <w:lang w:val="en"/>
        </w:rPr>
        <w:t xml:space="preserve">The OECD Council Act on PRTRs (1996), amended in 2003, calls for member countries to establish PRTRs. The </w:t>
      </w:r>
      <w:r>
        <w:rPr>
          <w:lang w:val="en"/>
        </w:rPr>
        <w:t xml:space="preserve">UK participates in the </w:t>
      </w:r>
      <w:hyperlink r:id="rId30" w:tgtFrame="_blank" w:history="1">
        <w:r w:rsidRPr="008A2020">
          <w:rPr>
            <w:rStyle w:val="Hyperlink"/>
            <w:color w:val="2E74B5" w:themeColor="accent1" w:themeShade="BF"/>
            <w:lang w:val="en"/>
          </w:rPr>
          <w:t>OECD Task Force on PRTRs</w:t>
        </w:r>
      </w:hyperlink>
      <w:r w:rsidRPr="00B03717">
        <w:rPr>
          <w:lang w:val="en"/>
        </w:rPr>
        <w:t xml:space="preserve"> and the </w:t>
      </w:r>
      <w:hyperlink r:id="rId31" w:tgtFrame="_blank" w:history="1">
        <w:r w:rsidRPr="008A2020">
          <w:rPr>
            <w:rStyle w:val="Hyperlink"/>
            <w:color w:val="2E74B5" w:themeColor="accent1" w:themeShade="BF"/>
            <w:lang w:val="en"/>
          </w:rPr>
          <w:t>UNECE (United Nations Economic Commission for Europe) PRTR</w:t>
        </w:r>
        <w:r w:rsidRPr="00B03717">
          <w:rPr>
            <w:rStyle w:val="Hyperlink"/>
            <w:color w:val="auto"/>
            <w:lang w:val="en"/>
          </w:rPr>
          <w:t xml:space="preserve"> </w:t>
        </w:r>
        <w:r w:rsidRPr="008A2020">
          <w:rPr>
            <w:rStyle w:val="Hyperlink"/>
            <w:color w:val="2E74B5" w:themeColor="accent1" w:themeShade="BF"/>
            <w:lang w:val="en"/>
          </w:rPr>
          <w:t>Protocol</w:t>
        </w:r>
      </w:hyperlink>
      <w:r w:rsidRPr="00B03717">
        <w:rPr>
          <w:lang w:val="en"/>
        </w:rPr>
        <w:t xml:space="preserve"> </w:t>
      </w:r>
      <w:r>
        <w:rPr>
          <w:lang w:val="en"/>
        </w:rPr>
        <w:t>Working Group which also</w:t>
      </w:r>
      <w:r w:rsidRPr="00B03717">
        <w:rPr>
          <w:lang w:val="en"/>
        </w:rPr>
        <w:t xml:space="preserve"> manage</w:t>
      </w:r>
      <w:r>
        <w:rPr>
          <w:lang w:val="en"/>
        </w:rPr>
        <w:t>s the</w:t>
      </w:r>
      <w:r w:rsidRPr="00B03717">
        <w:rPr>
          <w:lang w:val="en"/>
        </w:rPr>
        <w:t xml:space="preserve"> Global PRTR.</w:t>
      </w:r>
    </w:p>
    <w:p w:rsidR="00F1381E" w:rsidRPr="00B03717" w:rsidRDefault="00F1381E" w:rsidP="00F1381E">
      <w:pPr>
        <w:rPr>
          <w:lang w:val="en"/>
        </w:rPr>
      </w:pPr>
      <w:r w:rsidRPr="00B03717">
        <w:rPr>
          <w:lang w:val="en"/>
        </w:rPr>
        <w:t xml:space="preserve">SPRI data contributes to the </w:t>
      </w:r>
      <w:hyperlink r:id="rId32" w:tgtFrame="_blank" w:history="1">
        <w:r w:rsidRPr="008A2020">
          <w:rPr>
            <w:rStyle w:val="Hyperlink"/>
            <w:color w:val="2E74B5" w:themeColor="accent1" w:themeShade="BF"/>
            <w:lang w:val="en"/>
          </w:rPr>
          <w:t>Global PRTR dataset</w:t>
        </w:r>
      </w:hyperlink>
      <w:r w:rsidRPr="00B03717">
        <w:rPr>
          <w:lang w:val="en"/>
        </w:rPr>
        <w:t xml:space="preserve"> </w:t>
      </w:r>
      <w:r w:rsidR="00E74787">
        <w:rPr>
          <w:lang w:val="en"/>
        </w:rPr>
        <w:t xml:space="preserve">(via E-PRTR) </w:t>
      </w:r>
      <w:r w:rsidRPr="00B03717">
        <w:rPr>
          <w:lang w:val="en"/>
        </w:rPr>
        <w:t>which contains data from countries world-wide including Japan, Australia, U.S.A., Canada, Chile, South Korea, and most countries in the Europe Union</w:t>
      </w:r>
      <w:r w:rsidR="00E74787">
        <w:rPr>
          <w:lang w:val="en"/>
        </w:rPr>
        <w:t>.</w:t>
      </w:r>
    </w:p>
    <w:p w:rsidR="001C3DF3" w:rsidRPr="001C3DF3" w:rsidRDefault="001C3DF3" w:rsidP="00F1381E">
      <w:pPr>
        <w:rPr>
          <w:lang w:val="en"/>
        </w:rPr>
      </w:pPr>
      <w:r w:rsidRPr="00B03717">
        <w:rPr>
          <w:lang w:val="en"/>
        </w:rPr>
        <w:t xml:space="preserve">SPRI data are also used to fulfil various other reporting requirements and obligations including those of the </w:t>
      </w:r>
      <w:r>
        <w:rPr>
          <w:lang w:val="en"/>
        </w:rPr>
        <w:t xml:space="preserve">UK </w:t>
      </w:r>
      <w:hyperlink r:id="rId33" w:history="1">
        <w:r w:rsidRPr="008A2020">
          <w:rPr>
            <w:rStyle w:val="Hyperlink"/>
            <w:lang w:val="en"/>
          </w:rPr>
          <w:t>National Atmospheric Emission</w:t>
        </w:r>
        <w:r>
          <w:rPr>
            <w:rStyle w:val="Hyperlink"/>
            <w:lang w:val="en"/>
          </w:rPr>
          <w:t>s</w:t>
        </w:r>
        <w:r w:rsidRPr="008A2020">
          <w:rPr>
            <w:rStyle w:val="Hyperlink"/>
            <w:lang w:val="en"/>
          </w:rPr>
          <w:t xml:space="preserve"> Inventory</w:t>
        </w:r>
      </w:hyperlink>
      <w:r w:rsidRPr="00B03717">
        <w:rPr>
          <w:lang w:val="en"/>
        </w:rPr>
        <w:t xml:space="preserve"> (NAEI)</w:t>
      </w:r>
      <w:r>
        <w:rPr>
          <w:lang w:val="en"/>
        </w:rPr>
        <w:t xml:space="preserve">, which fulfils the </w:t>
      </w:r>
      <w:hyperlink r:id="rId34" w:history="1">
        <w:r w:rsidRPr="001C3DF3">
          <w:rPr>
            <w:rStyle w:val="Hyperlink"/>
            <w:lang w:val="en"/>
          </w:rPr>
          <w:t>UN</w:t>
        </w:r>
        <w:r w:rsidR="00945D98">
          <w:rPr>
            <w:rStyle w:val="Hyperlink"/>
            <w:lang w:val="en"/>
          </w:rPr>
          <w:t>ECE</w:t>
        </w:r>
        <w:r w:rsidRPr="001C3DF3">
          <w:rPr>
            <w:rStyle w:val="Hyperlink"/>
            <w:lang w:val="en"/>
          </w:rPr>
          <w:t xml:space="preserve"> Convention on Long Range </w:t>
        </w:r>
        <w:r w:rsidR="00945D98">
          <w:rPr>
            <w:rStyle w:val="Hyperlink"/>
            <w:lang w:val="en"/>
          </w:rPr>
          <w:t xml:space="preserve">Transboundary </w:t>
        </w:r>
        <w:r w:rsidRPr="001C3DF3">
          <w:rPr>
            <w:rStyle w:val="Hyperlink"/>
            <w:lang w:val="en"/>
          </w:rPr>
          <w:t>Air Pollution</w:t>
        </w:r>
      </w:hyperlink>
      <w:r>
        <w:rPr>
          <w:lang w:val="en"/>
        </w:rPr>
        <w:t xml:space="preserve"> (CLRTAP), and the UK Greenhouse Gas Inventory, which fulfills the </w:t>
      </w:r>
      <w:hyperlink r:id="rId35" w:history="1">
        <w:r w:rsidRPr="001C3DF3">
          <w:rPr>
            <w:rStyle w:val="Hyperlink"/>
            <w:lang w:val="en"/>
          </w:rPr>
          <w:t>UN Kyoto Framework Convention on Climate Change</w:t>
        </w:r>
      </w:hyperlink>
      <w:r w:rsidR="00E429C8">
        <w:rPr>
          <w:lang w:val="en"/>
        </w:rPr>
        <w:t xml:space="preserve"> (UNFCC).</w:t>
      </w:r>
      <w:r>
        <w:rPr>
          <w:lang w:val="en"/>
        </w:rPr>
        <w:t xml:space="preserve"> Other obligatory uses are the </w:t>
      </w:r>
      <w:hyperlink r:id="rId36" w:history="1">
        <w:r w:rsidR="00945D98">
          <w:rPr>
            <w:rStyle w:val="Hyperlink"/>
            <w:lang w:val="en"/>
          </w:rPr>
          <w:t>OSPAR C</w:t>
        </w:r>
        <w:r w:rsidRPr="00BB6CCE">
          <w:rPr>
            <w:rStyle w:val="Hyperlink"/>
            <w:lang w:val="en"/>
          </w:rPr>
          <w:t>onvention</w:t>
        </w:r>
      </w:hyperlink>
      <w:r>
        <w:rPr>
          <w:lang w:val="en"/>
        </w:rPr>
        <w:t xml:space="preserve"> and </w:t>
      </w:r>
      <w:hyperlink r:id="rId37" w:history="1">
        <w:r w:rsidRPr="00BB6CCE">
          <w:rPr>
            <w:rStyle w:val="Hyperlink"/>
            <w:lang w:val="en"/>
          </w:rPr>
          <w:t>Scotland’s Marine Atlas</w:t>
        </w:r>
      </w:hyperlink>
      <w:r w:rsidRPr="00B03717">
        <w:rPr>
          <w:lang w:val="en"/>
        </w:rPr>
        <w:t xml:space="preserve">. </w:t>
      </w:r>
    </w:p>
    <w:p w:rsidR="00F1381E" w:rsidRPr="00BA563A" w:rsidRDefault="00F1381E" w:rsidP="00F1381E">
      <w:pPr>
        <w:rPr>
          <w:lang w:val="en"/>
        </w:rPr>
      </w:pPr>
      <w:r w:rsidRPr="00B03717">
        <w:rPr>
          <w:bCs/>
        </w:rPr>
        <w:t xml:space="preserve">The data are also used </w:t>
      </w:r>
      <w:r w:rsidR="00DC5D19" w:rsidRPr="00B03717">
        <w:rPr>
          <w:bCs/>
        </w:rPr>
        <w:t>by</w:t>
      </w:r>
      <w:r w:rsidRPr="00B03717">
        <w:rPr>
          <w:bCs/>
        </w:rPr>
        <w:t xml:space="preserve"> central government, researchers and the general public.</w:t>
      </w:r>
    </w:p>
    <w:p w:rsidR="00F1381E" w:rsidRDefault="00F1381E" w:rsidP="00AC3120">
      <w:pPr>
        <w:rPr>
          <w:bCs/>
          <w:color w:val="0000FF"/>
        </w:rPr>
      </w:pPr>
    </w:p>
    <w:p w:rsidR="00A20942" w:rsidRDefault="009569C3" w:rsidP="007572EA">
      <w:pPr>
        <w:pStyle w:val="Heading3"/>
        <w:rPr>
          <w:color w:val="FF0000"/>
        </w:rPr>
      </w:pPr>
      <w:bookmarkStart w:id="13" w:name="_Toc51591151"/>
      <w:r>
        <w:t xml:space="preserve">2.3 </w:t>
      </w:r>
      <w:r w:rsidR="00A20942" w:rsidRPr="00A20942">
        <w:t>Feedback</w:t>
      </w:r>
      <w:bookmarkEnd w:id="13"/>
      <w:r w:rsidR="003F50B0">
        <w:t xml:space="preserve"> </w:t>
      </w:r>
    </w:p>
    <w:p w:rsidR="00B03717" w:rsidRPr="00B03717" w:rsidRDefault="00B03717" w:rsidP="00B03717">
      <w:pPr>
        <w:spacing w:after="0"/>
      </w:pPr>
    </w:p>
    <w:p w:rsidR="00A20942" w:rsidRPr="00B03717" w:rsidRDefault="00A20942" w:rsidP="00AC3120">
      <w:r w:rsidRPr="00B03717">
        <w:t xml:space="preserve">We welcome feedback on </w:t>
      </w:r>
      <w:r w:rsidR="00AA4644">
        <w:t xml:space="preserve">this publication and </w:t>
      </w:r>
      <w:r w:rsidRPr="00B03717">
        <w:t xml:space="preserve">the data from all users including </w:t>
      </w:r>
      <w:r w:rsidR="00E54343">
        <w:t xml:space="preserve">information on </w:t>
      </w:r>
      <w:r w:rsidRPr="00B03717">
        <w:t>how and why the data are used. This helps us to understand the value of the statistics to external users. Please see our contact details at the bottom of the fir</w:t>
      </w:r>
      <w:r w:rsidR="00AC3120" w:rsidRPr="00B03717">
        <w:t>st page of this notice.</w:t>
      </w:r>
    </w:p>
    <w:p w:rsidR="0055519E" w:rsidRDefault="0055519E">
      <w:pPr>
        <w:rPr>
          <w:rFonts w:eastAsiaTheme="majorEastAsia" w:cstheme="majorBidi"/>
          <w:b/>
          <w:sz w:val="24"/>
          <w:szCs w:val="24"/>
        </w:rPr>
      </w:pPr>
      <w:r>
        <w:br w:type="page"/>
      </w:r>
    </w:p>
    <w:p w:rsidR="00A20942" w:rsidRDefault="009569C3" w:rsidP="007572EA">
      <w:pPr>
        <w:pStyle w:val="Heading3"/>
      </w:pPr>
      <w:bookmarkStart w:id="14" w:name="_Toc51591152"/>
      <w:r>
        <w:lastRenderedPageBreak/>
        <w:t xml:space="preserve">2.4 </w:t>
      </w:r>
      <w:r w:rsidR="00A20942">
        <w:t>Revisions</w:t>
      </w:r>
      <w:bookmarkEnd w:id="14"/>
    </w:p>
    <w:p w:rsidR="00B03717" w:rsidRPr="00B03717" w:rsidRDefault="00B03717" w:rsidP="00B03717">
      <w:pPr>
        <w:spacing w:after="0"/>
      </w:pPr>
    </w:p>
    <w:p w:rsidR="00A20942" w:rsidRPr="00B03717" w:rsidRDefault="00A20942" w:rsidP="008C34B4">
      <w:r w:rsidRPr="00B03717">
        <w:t>SEPA will provide information about any revisions made to published information in this statistics release and the associated datasets. Revisions could occur for various reasons, including when data from third parties is unavailable or provisional at the time of publishing or if there are subsequent methodological improvements or refinements.</w:t>
      </w:r>
      <w:r w:rsidR="007F6521" w:rsidRPr="00B03717">
        <w:t xml:space="preserve"> Requests for revisions may be made by SEPA or by Operators.</w:t>
      </w:r>
    </w:p>
    <w:p w:rsidR="008C34B4" w:rsidRPr="00B03717" w:rsidRDefault="008C34B4" w:rsidP="008C34B4">
      <w:r w:rsidRPr="00B03717">
        <w:t xml:space="preserve">Note that revisions to individual returns may occur throughout the year, and returns are immediately available to view on the </w:t>
      </w:r>
      <w:r w:rsidR="004A448B" w:rsidRPr="00B03717">
        <w:t>SEPA website’s SPRI pages</w:t>
      </w:r>
      <w:r w:rsidRPr="00B03717">
        <w:t>. The revision process requires similar Quality Assurance checks to those carried out on annual data submissions and the return may be unavailable during this period.</w:t>
      </w:r>
    </w:p>
    <w:p w:rsidR="007F6521" w:rsidRPr="00B03717" w:rsidRDefault="007F6521" w:rsidP="008C34B4">
      <w:r w:rsidRPr="00B03717">
        <w:t xml:space="preserve">Data available on </w:t>
      </w:r>
      <w:r w:rsidR="004A448B" w:rsidRPr="00B03717">
        <w:t xml:space="preserve">Scotland’s Environment Web </w:t>
      </w:r>
      <w:r w:rsidRPr="00B03717">
        <w:t>updates annually and will include all revisions to previous years.</w:t>
      </w:r>
    </w:p>
    <w:p w:rsidR="007F6521" w:rsidRDefault="007F6521" w:rsidP="008C34B4">
      <w:r w:rsidRPr="00B03717">
        <w:t>Where necessary, PRTR data revisi</w:t>
      </w:r>
      <w:r w:rsidR="00E429C8">
        <w:t>ons will be resupplied to the European Commission (EC) and European Environment Agency (EEA)</w:t>
      </w:r>
      <w:r w:rsidRPr="00B03717">
        <w:t xml:space="preserve"> via Defra</w:t>
      </w:r>
      <w:r w:rsidR="00F44090" w:rsidRPr="00B03717">
        <w:t>.</w:t>
      </w:r>
    </w:p>
    <w:p w:rsidR="00210CD2" w:rsidRPr="00B03717" w:rsidRDefault="00210CD2" w:rsidP="008C34B4">
      <w:r w:rsidRPr="00210CD2">
        <w:t>One site changed reporting code this year: INEOS Chemicals Grangemouth now reports under 4(a</w:t>
      </w:r>
      <w:proofErr w:type="gramStart"/>
      <w:r w:rsidRPr="00210CD2">
        <w:t>)</w:t>
      </w:r>
      <w:proofErr w:type="spellStart"/>
      <w:r w:rsidRPr="00210CD2">
        <w:t>i</w:t>
      </w:r>
      <w:proofErr w:type="spellEnd"/>
      <w:proofErr w:type="gramEnd"/>
      <w:r w:rsidRPr="00210CD2">
        <w:t xml:space="preserve"> instead of 1(a).</w:t>
      </w:r>
    </w:p>
    <w:p w:rsidR="0055519E" w:rsidRPr="00013766" w:rsidRDefault="004C66F0" w:rsidP="00A20942">
      <w:pPr>
        <w:rPr>
          <w:i/>
        </w:rPr>
      </w:pPr>
      <w:r>
        <w:rPr>
          <w:i/>
        </w:rPr>
        <w:t>Table 7</w:t>
      </w:r>
      <w:r w:rsidR="007B3E21" w:rsidRPr="0055519E">
        <w:rPr>
          <w:i/>
        </w:rPr>
        <w:t xml:space="preserve">: Revisions to </w:t>
      </w:r>
      <w:r w:rsidR="00E372A5">
        <w:rPr>
          <w:i/>
        </w:rPr>
        <w:t xml:space="preserve">historic </w:t>
      </w:r>
      <w:r w:rsidR="007B3E21" w:rsidRPr="0055519E">
        <w:rPr>
          <w:i/>
        </w:rPr>
        <w:t xml:space="preserve">SPRI pollutant emission data </w:t>
      </w:r>
      <w:r w:rsidR="00013766">
        <w:rPr>
          <w:i/>
        </w:rPr>
        <w:t>since last publication</w:t>
      </w:r>
    </w:p>
    <w:tbl>
      <w:tblPr>
        <w:tblStyle w:val="PlainTable1"/>
        <w:tblW w:w="0" w:type="auto"/>
        <w:tblCellMar>
          <w:left w:w="57" w:type="dxa"/>
          <w:right w:w="57" w:type="dxa"/>
        </w:tblCellMar>
        <w:tblLook w:val="04A0" w:firstRow="1" w:lastRow="0" w:firstColumn="1" w:lastColumn="0" w:noHBand="0" w:noVBand="1"/>
      </w:tblPr>
      <w:tblGrid>
        <w:gridCol w:w="3823"/>
        <w:gridCol w:w="850"/>
        <w:gridCol w:w="2713"/>
        <w:gridCol w:w="816"/>
        <w:gridCol w:w="1127"/>
        <w:gridCol w:w="1127"/>
      </w:tblGrid>
      <w:tr w:rsidR="0055519E" w:rsidRPr="0055519E" w:rsidTr="009F4C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vMerge w:val="restart"/>
            <w:noWrap/>
            <w:hideMark/>
          </w:tcPr>
          <w:p w:rsidR="0055519E" w:rsidRPr="0094785C" w:rsidRDefault="0055519E" w:rsidP="0055519E">
            <w:pPr>
              <w:rPr>
                <w:b w:val="0"/>
                <w:sz w:val="20"/>
                <w:szCs w:val="20"/>
              </w:rPr>
            </w:pPr>
            <w:r w:rsidRPr="0094785C">
              <w:rPr>
                <w:b w:val="0"/>
                <w:sz w:val="20"/>
                <w:szCs w:val="20"/>
              </w:rPr>
              <w:t>Site name</w:t>
            </w:r>
          </w:p>
        </w:tc>
        <w:tc>
          <w:tcPr>
            <w:tcW w:w="850" w:type="dxa"/>
            <w:vMerge w:val="restart"/>
            <w:noWrap/>
            <w:hideMark/>
          </w:tcPr>
          <w:p w:rsidR="0055519E" w:rsidRPr="0094785C" w:rsidRDefault="0055519E" w:rsidP="0055519E">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Dataset year</w:t>
            </w:r>
          </w:p>
        </w:tc>
        <w:tc>
          <w:tcPr>
            <w:tcW w:w="2713" w:type="dxa"/>
            <w:vMerge w:val="restart"/>
            <w:noWrap/>
            <w:hideMark/>
          </w:tcPr>
          <w:p w:rsidR="0055519E" w:rsidRPr="0094785C" w:rsidRDefault="0055519E" w:rsidP="0055519E">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Pollutant</w:t>
            </w:r>
          </w:p>
        </w:tc>
        <w:tc>
          <w:tcPr>
            <w:tcW w:w="816" w:type="dxa"/>
            <w:vMerge w:val="restart"/>
            <w:noWrap/>
            <w:hideMark/>
          </w:tcPr>
          <w:p w:rsidR="0055519E" w:rsidRPr="0094785C" w:rsidRDefault="0055519E" w:rsidP="0055519E">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Medium</w:t>
            </w:r>
          </w:p>
        </w:tc>
        <w:tc>
          <w:tcPr>
            <w:tcW w:w="2254" w:type="dxa"/>
            <w:gridSpan w:val="2"/>
            <w:noWrap/>
            <w:hideMark/>
          </w:tcPr>
          <w:p w:rsidR="0055519E" w:rsidRPr="0094785C" w:rsidRDefault="0055519E" w:rsidP="00013766">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Mass (kg)</w:t>
            </w:r>
          </w:p>
        </w:tc>
      </w:tr>
      <w:tr w:rsidR="0055519E" w:rsidRPr="0055519E" w:rsidTr="0094785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823" w:type="dxa"/>
            <w:vMerge/>
            <w:tcBorders>
              <w:bottom w:val="single" w:sz="4" w:space="0" w:color="auto"/>
            </w:tcBorders>
            <w:hideMark/>
          </w:tcPr>
          <w:p w:rsidR="0055519E" w:rsidRPr="0094785C" w:rsidRDefault="0055519E">
            <w:pPr>
              <w:rPr>
                <w:b w:val="0"/>
                <w:sz w:val="20"/>
                <w:szCs w:val="20"/>
              </w:rPr>
            </w:pPr>
          </w:p>
        </w:tc>
        <w:tc>
          <w:tcPr>
            <w:tcW w:w="850" w:type="dxa"/>
            <w:vMerge/>
            <w:tcBorders>
              <w:bottom w:val="single" w:sz="4" w:space="0" w:color="auto"/>
            </w:tcBorders>
            <w:hideMark/>
          </w:tcPr>
          <w:p w:rsidR="0055519E" w:rsidRPr="0094785C" w:rsidRDefault="0055519E">
            <w:pPr>
              <w:cnfStyle w:val="000000100000" w:firstRow="0" w:lastRow="0" w:firstColumn="0" w:lastColumn="0" w:oddVBand="0" w:evenVBand="0" w:oddHBand="1" w:evenHBand="0" w:firstRowFirstColumn="0" w:firstRowLastColumn="0" w:lastRowFirstColumn="0" w:lastRowLastColumn="0"/>
              <w:rPr>
                <w:sz w:val="20"/>
                <w:szCs w:val="20"/>
              </w:rPr>
            </w:pPr>
          </w:p>
        </w:tc>
        <w:tc>
          <w:tcPr>
            <w:tcW w:w="2713" w:type="dxa"/>
            <w:vMerge/>
            <w:tcBorders>
              <w:bottom w:val="single" w:sz="4" w:space="0" w:color="auto"/>
            </w:tcBorders>
            <w:hideMark/>
          </w:tcPr>
          <w:p w:rsidR="0055519E" w:rsidRPr="0094785C" w:rsidRDefault="0055519E">
            <w:pPr>
              <w:cnfStyle w:val="000000100000" w:firstRow="0" w:lastRow="0" w:firstColumn="0" w:lastColumn="0" w:oddVBand="0" w:evenVBand="0" w:oddHBand="1" w:evenHBand="0" w:firstRowFirstColumn="0" w:firstRowLastColumn="0" w:lastRowFirstColumn="0" w:lastRowLastColumn="0"/>
              <w:rPr>
                <w:sz w:val="20"/>
                <w:szCs w:val="20"/>
              </w:rPr>
            </w:pPr>
          </w:p>
        </w:tc>
        <w:tc>
          <w:tcPr>
            <w:tcW w:w="816" w:type="dxa"/>
            <w:vMerge/>
            <w:tcBorders>
              <w:bottom w:val="single" w:sz="4" w:space="0" w:color="auto"/>
            </w:tcBorders>
            <w:hideMark/>
          </w:tcPr>
          <w:p w:rsidR="0055519E" w:rsidRPr="0094785C" w:rsidRDefault="0055519E">
            <w:pPr>
              <w:cnfStyle w:val="000000100000" w:firstRow="0" w:lastRow="0" w:firstColumn="0" w:lastColumn="0" w:oddVBand="0" w:evenVBand="0" w:oddHBand="1" w:evenHBand="0" w:firstRowFirstColumn="0" w:firstRowLastColumn="0" w:lastRowFirstColumn="0" w:lastRowLastColumn="0"/>
              <w:rPr>
                <w:sz w:val="20"/>
                <w:szCs w:val="20"/>
              </w:rPr>
            </w:pPr>
          </w:p>
        </w:tc>
        <w:tc>
          <w:tcPr>
            <w:tcW w:w="1127" w:type="dxa"/>
            <w:tcBorders>
              <w:bottom w:val="single" w:sz="4" w:space="0" w:color="auto"/>
            </w:tcBorders>
            <w:hideMark/>
          </w:tcPr>
          <w:p w:rsidR="0055519E" w:rsidRPr="0094785C" w:rsidRDefault="0055519E" w:rsidP="00013766">
            <w:pPr>
              <w:jc w:val="center"/>
              <w:cnfStyle w:val="000000100000" w:firstRow="0" w:lastRow="0" w:firstColumn="0" w:lastColumn="0" w:oddVBand="0" w:evenVBand="0" w:oddHBand="1" w:evenHBand="0" w:firstRowFirstColumn="0" w:firstRowLastColumn="0" w:lastRowFirstColumn="0" w:lastRowLastColumn="0"/>
              <w:rPr>
                <w:sz w:val="20"/>
                <w:szCs w:val="20"/>
              </w:rPr>
            </w:pPr>
            <w:r w:rsidRPr="0094785C">
              <w:rPr>
                <w:sz w:val="20"/>
                <w:szCs w:val="20"/>
              </w:rPr>
              <w:t>original</w:t>
            </w:r>
          </w:p>
        </w:tc>
        <w:tc>
          <w:tcPr>
            <w:tcW w:w="1127" w:type="dxa"/>
            <w:tcBorders>
              <w:bottom w:val="single" w:sz="4" w:space="0" w:color="auto"/>
            </w:tcBorders>
            <w:hideMark/>
          </w:tcPr>
          <w:p w:rsidR="0055519E" w:rsidRPr="0094785C" w:rsidRDefault="0055519E" w:rsidP="00013766">
            <w:pPr>
              <w:jc w:val="center"/>
              <w:cnfStyle w:val="000000100000" w:firstRow="0" w:lastRow="0" w:firstColumn="0" w:lastColumn="0" w:oddVBand="0" w:evenVBand="0" w:oddHBand="1" w:evenHBand="0" w:firstRowFirstColumn="0" w:firstRowLastColumn="0" w:lastRowFirstColumn="0" w:lastRowLastColumn="0"/>
              <w:rPr>
                <w:sz w:val="20"/>
                <w:szCs w:val="20"/>
              </w:rPr>
            </w:pPr>
            <w:r w:rsidRPr="0094785C">
              <w:rPr>
                <w:sz w:val="20"/>
                <w:szCs w:val="20"/>
              </w:rPr>
              <w:t>updated</w:t>
            </w:r>
          </w:p>
        </w:tc>
      </w:tr>
      <w:tr w:rsidR="00182D5E" w:rsidRPr="0055519E" w:rsidTr="0094785C">
        <w:trPr>
          <w:trHeight w:val="30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tcBorders>
            <w:noWrap/>
            <w:hideMark/>
          </w:tcPr>
          <w:p w:rsidR="00182D5E" w:rsidRPr="009F4C26" w:rsidRDefault="00182D5E" w:rsidP="00182D5E">
            <w:pPr>
              <w:rPr>
                <w:rFonts w:ascii="Calibri" w:hAnsi="Calibri"/>
                <w:b w:val="0"/>
                <w:color w:val="000000"/>
                <w:sz w:val="20"/>
                <w:szCs w:val="20"/>
              </w:rPr>
            </w:pPr>
            <w:proofErr w:type="spellStart"/>
            <w:r w:rsidRPr="009F4C26">
              <w:rPr>
                <w:rFonts w:ascii="Calibri" w:hAnsi="Calibri"/>
                <w:b w:val="0"/>
                <w:color w:val="000000"/>
                <w:sz w:val="20"/>
                <w:szCs w:val="20"/>
              </w:rPr>
              <w:t>Allanfearn</w:t>
            </w:r>
            <w:proofErr w:type="spellEnd"/>
            <w:r w:rsidRPr="009F4C26">
              <w:rPr>
                <w:rFonts w:ascii="Calibri" w:hAnsi="Calibri"/>
                <w:b w:val="0"/>
                <w:color w:val="000000"/>
                <w:sz w:val="20"/>
                <w:szCs w:val="20"/>
              </w:rPr>
              <w:t xml:space="preserve"> Sewage Treatment Works, Inverness</w:t>
            </w:r>
          </w:p>
        </w:tc>
        <w:tc>
          <w:tcPr>
            <w:tcW w:w="850" w:type="dxa"/>
            <w:tcBorders>
              <w:top w:val="single" w:sz="4" w:space="0" w:color="auto"/>
            </w:tcBorders>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2018</w:t>
            </w:r>
          </w:p>
        </w:tc>
        <w:tc>
          <w:tcPr>
            <w:tcW w:w="2713" w:type="dxa"/>
            <w:tcBorders>
              <w:top w:val="single" w:sz="4" w:space="0" w:color="auto"/>
            </w:tcBorders>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roofErr w:type="spellStart"/>
            <w:r w:rsidRPr="009F4C26">
              <w:rPr>
                <w:rFonts w:ascii="Calibri" w:hAnsi="Calibri"/>
                <w:color w:val="000000"/>
                <w:sz w:val="20"/>
                <w:szCs w:val="20"/>
              </w:rPr>
              <w:t>Lindane</w:t>
            </w:r>
            <w:proofErr w:type="spellEnd"/>
            <w:r w:rsidRPr="009F4C26">
              <w:rPr>
                <w:rFonts w:ascii="Calibri" w:hAnsi="Calibri"/>
                <w:color w:val="000000"/>
                <w:sz w:val="20"/>
                <w:szCs w:val="20"/>
              </w:rPr>
              <w:t xml:space="preserve"> </w:t>
            </w:r>
          </w:p>
        </w:tc>
        <w:tc>
          <w:tcPr>
            <w:tcW w:w="816" w:type="dxa"/>
            <w:tcBorders>
              <w:top w:val="single" w:sz="4" w:space="0" w:color="auto"/>
            </w:tcBorders>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Water</w:t>
            </w:r>
          </w:p>
        </w:tc>
        <w:tc>
          <w:tcPr>
            <w:tcW w:w="1127" w:type="dxa"/>
            <w:tcBorders>
              <w:top w:val="single" w:sz="4" w:space="0" w:color="auto"/>
            </w:tcBorders>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no entry</w:t>
            </w:r>
          </w:p>
        </w:tc>
        <w:tc>
          <w:tcPr>
            <w:tcW w:w="1127" w:type="dxa"/>
            <w:tcBorders>
              <w:top w:val="single" w:sz="4" w:space="0" w:color="auto"/>
            </w:tcBorders>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BRT</w:t>
            </w:r>
          </w:p>
        </w:tc>
      </w:tr>
      <w:tr w:rsidR="009F4C26"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Calachem</w:t>
            </w:r>
            <w:proofErr w:type="spellEnd"/>
            <w:r w:rsidRPr="009F4C26">
              <w:rPr>
                <w:rFonts w:ascii="Calibri" w:hAnsi="Calibri"/>
                <w:b w:val="0"/>
                <w:sz w:val="20"/>
                <w:szCs w:val="20"/>
              </w:rPr>
              <w:t xml:space="preserve"> Ltd, Grangemouth</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Copper</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Water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77.8</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726</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Cameronbridge</w:t>
            </w:r>
            <w:proofErr w:type="spellEnd"/>
            <w:r w:rsidRPr="009F4C26">
              <w:rPr>
                <w:rFonts w:ascii="Calibri" w:hAnsi="Calibri"/>
                <w:b w:val="0"/>
                <w:sz w:val="20"/>
                <w:szCs w:val="20"/>
              </w:rPr>
              <w:t xml:space="preserve"> Distillery, </w:t>
            </w:r>
            <w:proofErr w:type="spellStart"/>
            <w:r w:rsidRPr="009F4C26">
              <w:rPr>
                <w:rFonts w:ascii="Calibri" w:hAnsi="Calibri"/>
                <w:b w:val="0"/>
                <w:sz w:val="20"/>
                <w:szCs w:val="20"/>
              </w:rPr>
              <w:t>Windygates</w:t>
            </w:r>
            <w:proofErr w:type="spellEnd"/>
            <w:r w:rsidRPr="009F4C26">
              <w:rPr>
                <w:rFonts w:ascii="Calibri" w:hAnsi="Calibri"/>
                <w:b w:val="0"/>
                <w:sz w:val="20"/>
                <w:szCs w:val="20"/>
              </w:rPr>
              <w:t>, Leven</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Ammonia</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Water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378</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101.91</w:t>
            </w:r>
          </w:p>
        </w:tc>
      </w:tr>
      <w:tr w:rsidR="009F4C26"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Cheviot View Poultry Farm, </w:t>
            </w:r>
            <w:proofErr w:type="spellStart"/>
            <w:r w:rsidRPr="009F4C26">
              <w:rPr>
                <w:rFonts w:ascii="Calibri" w:hAnsi="Calibri"/>
                <w:b w:val="0"/>
                <w:sz w:val="20"/>
                <w:szCs w:val="20"/>
              </w:rPr>
              <w:t>Greenlaw</w:t>
            </w:r>
            <w:proofErr w:type="spellEnd"/>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total</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Congeith</w:t>
            </w:r>
            <w:proofErr w:type="spellEnd"/>
            <w:r w:rsidRPr="009F4C26">
              <w:rPr>
                <w:rFonts w:ascii="Calibri" w:hAnsi="Calibri"/>
                <w:b w:val="0"/>
                <w:sz w:val="20"/>
                <w:szCs w:val="20"/>
              </w:rPr>
              <w:t xml:space="preserve">, </w:t>
            </w:r>
            <w:proofErr w:type="spellStart"/>
            <w:r w:rsidRPr="009F4C26">
              <w:rPr>
                <w:rFonts w:ascii="Calibri" w:hAnsi="Calibri"/>
                <w:b w:val="0"/>
                <w:sz w:val="20"/>
                <w:szCs w:val="20"/>
              </w:rPr>
              <w:t>Kirkgunzeon</w:t>
            </w:r>
            <w:proofErr w:type="spellEnd"/>
            <w:r w:rsidRPr="009F4C26">
              <w:rPr>
                <w:rFonts w:ascii="Calibri" w:hAnsi="Calibri"/>
                <w:b w:val="0"/>
                <w:sz w:val="20"/>
                <w:szCs w:val="20"/>
              </w:rPr>
              <w:t>, Dumfries</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total</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9F4C26"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color w:val="000000"/>
                <w:sz w:val="20"/>
                <w:szCs w:val="20"/>
              </w:rPr>
            </w:pPr>
            <w:r w:rsidRPr="009F4C26">
              <w:rPr>
                <w:rFonts w:ascii="Calibri" w:hAnsi="Calibri"/>
                <w:b w:val="0"/>
                <w:color w:val="000000"/>
                <w:sz w:val="20"/>
                <w:szCs w:val="20"/>
              </w:rPr>
              <w:t>Cumnock Underwood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Ammonia</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Water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52700</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232</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color w:val="000000"/>
                <w:sz w:val="20"/>
                <w:szCs w:val="20"/>
              </w:rPr>
            </w:pPr>
            <w:proofErr w:type="spellStart"/>
            <w:r w:rsidRPr="009F4C26">
              <w:rPr>
                <w:rFonts w:ascii="Calibri" w:hAnsi="Calibri"/>
                <w:b w:val="0"/>
                <w:color w:val="000000"/>
                <w:sz w:val="20"/>
                <w:szCs w:val="20"/>
              </w:rPr>
              <w:t>Dalmuir</w:t>
            </w:r>
            <w:proofErr w:type="spellEnd"/>
            <w:r w:rsidRPr="009F4C26">
              <w:rPr>
                <w:rFonts w:ascii="Calibri" w:hAnsi="Calibri"/>
                <w:b w:val="0"/>
                <w:color w:val="000000"/>
                <w:sz w:val="20"/>
                <w:szCs w:val="20"/>
              </w:rPr>
              <w:t xml:space="preserve"> STW, Beardmore Street, Clydebank</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roofErr w:type="spellStart"/>
            <w:r w:rsidRPr="009F4C26">
              <w:rPr>
                <w:rFonts w:ascii="Calibri" w:hAnsi="Calibri"/>
                <w:color w:val="000000"/>
                <w:sz w:val="20"/>
                <w:szCs w:val="20"/>
              </w:rPr>
              <w:t>Lindane</w:t>
            </w:r>
            <w:proofErr w:type="spellEnd"/>
            <w:r w:rsidRPr="009F4C26">
              <w:rPr>
                <w:rFonts w:ascii="Calibri" w:hAnsi="Calibri"/>
                <w:color w:val="000000"/>
                <w:sz w:val="20"/>
                <w:szCs w:val="20"/>
              </w:rPr>
              <w:t xml:space="preserve"> </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Water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0.22</w:t>
            </w:r>
          </w:p>
        </w:tc>
      </w:tr>
      <w:tr w:rsidR="009F4C26"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DSM @ </w:t>
            </w:r>
            <w:proofErr w:type="spellStart"/>
            <w:r w:rsidRPr="009F4C26">
              <w:rPr>
                <w:rFonts w:ascii="Calibri" w:hAnsi="Calibri"/>
                <w:b w:val="0"/>
                <w:sz w:val="20"/>
                <w:szCs w:val="20"/>
              </w:rPr>
              <w:t>Drakemyre</w:t>
            </w:r>
            <w:proofErr w:type="spellEnd"/>
            <w:r w:rsidRPr="009F4C26">
              <w:rPr>
                <w:rFonts w:ascii="Calibri" w:hAnsi="Calibri"/>
                <w:b w:val="0"/>
                <w:sz w:val="20"/>
                <w:szCs w:val="20"/>
              </w:rPr>
              <w:t xml:space="preserve"> Chemical Works, </w:t>
            </w:r>
            <w:proofErr w:type="spellStart"/>
            <w:r w:rsidRPr="009F4C26">
              <w:rPr>
                <w:rFonts w:ascii="Calibri" w:hAnsi="Calibri"/>
                <w:b w:val="0"/>
                <w:sz w:val="20"/>
                <w:szCs w:val="20"/>
              </w:rPr>
              <w:t>Dalry</w:t>
            </w:r>
            <w:proofErr w:type="spellEnd"/>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Methane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58,100</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111,552</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Elmbank</w:t>
            </w:r>
            <w:proofErr w:type="spellEnd"/>
            <w:r w:rsidRPr="009F4C26">
              <w:rPr>
                <w:rFonts w:ascii="Calibri" w:hAnsi="Calibri"/>
                <w:b w:val="0"/>
                <w:sz w:val="20"/>
                <w:szCs w:val="20"/>
              </w:rPr>
              <w:t xml:space="preserve"> Poultry Farm, </w:t>
            </w:r>
            <w:proofErr w:type="spellStart"/>
            <w:r w:rsidRPr="009F4C26">
              <w:rPr>
                <w:rFonts w:ascii="Calibri" w:hAnsi="Calibri"/>
                <w:b w:val="0"/>
                <w:sz w:val="20"/>
                <w:szCs w:val="20"/>
              </w:rPr>
              <w:t>Crossgates</w:t>
            </w:r>
            <w:proofErr w:type="spellEnd"/>
            <w:r w:rsidRPr="009F4C26">
              <w:rPr>
                <w:rFonts w:ascii="Calibri" w:hAnsi="Calibri"/>
                <w:b w:val="0"/>
                <w:sz w:val="20"/>
                <w:szCs w:val="20"/>
              </w:rPr>
              <w:t>, Fife</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total</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9F4C26"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Total organic carbon</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Water</w:t>
            </w:r>
          </w:p>
        </w:tc>
        <w:tc>
          <w:tcPr>
            <w:tcW w:w="1127" w:type="dxa"/>
            <w:noWrap/>
            <w:hideMark/>
          </w:tcPr>
          <w:p w:rsidR="00182D5E" w:rsidRPr="009F4C26" w:rsidRDefault="006C62C0"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473</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2012</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516,656</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2012</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Nitrous 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13,991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16,653</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2013</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111,272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565,169</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2013</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Nitrous 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13,991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12,925</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2014</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111,272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481,018</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2014</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Nitrous 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13,991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2015</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111,273</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706,073</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2015</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Nitrous 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13,991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16,706</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2016</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111,272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665,236</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2016</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Nitrous 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13,991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19,304</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Carbon dioxide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144,205,632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148,108,000</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Carbon monoxide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489,063</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Methane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15,332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69,127</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Nickel</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15.00</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17.28</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111,272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625,078</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lastRenderedPageBreak/>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Nitrous 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13,991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20,694</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Non-methane volatile organic compounds (NMVOCs)</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2,832,993</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1,189,644</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Antimony</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2.226</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2.32</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Carbon dioxide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144,205,632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115,098,000</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Carbon monoxide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342,930</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Methane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15,332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46,089</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Nickel</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37</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38.24</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111,272</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447,805</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Nitrous 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13,991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15,043</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Non-methane volatile organic compounds (NMVOCs)</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2,832,993</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840,823</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Flotta</w:t>
            </w:r>
            <w:proofErr w:type="spellEnd"/>
            <w:r w:rsidRPr="009F4C26">
              <w:rPr>
                <w:rFonts w:ascii="Calibri" w:hAnsi="Calibri"/>
                <w:b w:val="0"/>
                <w:sz w:val="20"/>
                <w:szCs w:val="20"/>
              </w:rPr>
              <w:t xml:space="preserve"> Terminal, Orkney </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Vanadium</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14.98</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Garpit</w:t>
            </w:r>
            <w:proofErr w:type="spellEnd"/>
            <w:r w:rsidRPr="009F4C26">
              <w:rPr>
                <w:rFonts w:ascii="Calibri" w:hAnsi="Calibri"/>
                <w:b w:val="0"/>
                <w:sz w:val="20"/>
                <w:szCs w:val="20"/>
              </w:rPr>
              <w:t xml:space="preserve"> Poultry Farm, </w:t>
            </w:r>
            <w:proofErr w:type="spellStart"/>
            <w:r w:rsidRPr="009F4C26">
              <w:rPr>
                <w:rFonts w:ascii="Calibri" w:hAnsi="Calibri"/>
                <w:b w:val="0"/>
                <w:sz w:val="20"/>
                <w:szCs w:val="20"/>
              </w:rPr>
              <w:t>Tayport</w:t>
            </w:r>
            <w:proofErr w:type="spellEnd"/>
            <w:r w:rsidRPr="009F4C26">
              <w:rPr>
                <w:rFonts w:ascii="Calibri" w:hAnsi="Calibri"/>
                <w:b w:val="0"/>
                <w:sz w:val="20"/>
                <w:szCs w:val="20"/>
              </w:rPr>
              <w:t>, Fife</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total</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Glasgow Royal Infirmary, </w:t>
            </w:r>
            <w:proofErr w:type="spellStart"/>
            <w:r w:rsidRPr="009F4C26">
              <w:rPr>
                <w:rFonts w:ascii="Calibri" w:hAnsi="Calibri"/>
                <w:b w:val="0"/>
                <w:sz w:val="20"/>
                <w:szCs w:val="20"/>
              </w:rPr>
              <w:t>Dennistoun</w:t>
            </w:r>
            <w:proofErr w:type="spellEnd"/>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Carbon dioxide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24,679,537</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11,558,079</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Glasgow Royal Infirmary, </w:t>
            </w:r>
            <w:proofErr w:type="spellStart"/>
            <w:r w:rsidRPr="009F4C26">
              <w:rPr>
                <w:rFonts w:ascii="Calibri" w:hAnsi="Calibri"/>
                <w:b w:val="0"/>
                <w:sz w:val="20"/>
                <w:szCs w:val="20"/>
              </w:rPr>
              <w:t>Dennistoun</w:t>
            </w:r>
            <w:proofErr w:type="spellEnd"/>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PM10 and smaller</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Glasgow Royal Infirmary, </w:t>
            </w:r>
            <w:proofErr w:type="spellStart"/>
            <w:r w:rsidRPr="009F4C26">
              <w:rPr>
                <w:rFonts w:ascii="Calibri" w:hAnsi="Calibri"/>
                <w:b w:val="0"/>
                <w:sz w:val="20"/>
                <w:szCs w:val="20"/>
              </w:rPr>
              <w:t>Dennistoun</w:t>
            </w:r>
            <w:proofErr w:type="spellEnd"/>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total</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House of Surface Water Mine, New Cumnock</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PM10 and smaller</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200,405</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House of Surface Water Mine, New Cumnock</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PM10 and smaller</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229,771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14,823</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2016</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Benzene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15,997</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18,189</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2016</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Carbon dioxide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536,660,317</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541,086,138</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2016</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Carbon monoxide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107,016</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1,359,977</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2016</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Non-methane volatile organic compounds (NMVOCs)</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1,072,108</w:t>
            </w:r>
          </w:p>
        </w:tc>
        <w:tc>
          <w:tcPr>
            <w:tcW w:w="1127" w:type="dxa"/>
            <w:noWrap/>
            <w:hideMark/>
          </w:tcPr>
          <w:p w:rsidR="00182D5E" w:rsidRPr="009F4C26" w:rsidRDefault="007E2A05"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927,262</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2016</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Non-methane volatile organic compounds (NMVOCs) - accidental release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3,312</w:t>
            </w:r>
          </w:p>
        </w:tc>
      </w:tr>
      <w:tr w:rsidR="009F4C26"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Benzene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15,014</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17,054</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Carbon dioxide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611,437,310</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611,782,662</w:t>
            </w:r>
          </w:p>
        </w:tc>
      </w:tr>
      <w:tr w:rsidR="009F4C26"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Carbon monoxide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160,783</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1,424,666</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491,575</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491,790</w:t>
            </w:r>
          </w:p>
        </w:tc>
      </w:tr>
      <w:tr w:rsidR="009F4C26"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Non-methane volatile organic compounds (NMVOCs)</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910,051</w:t>
            </w:r>
          </w:p>
        </w:tc>
        <w:tc>
          <w:tcPr>
            <w:tcW w:w="1127" w:type="dxa"/>
            <w:noWrap/>
            <w:hideMark/>
          </w:tcPr>
          <w:p w:rsidR="00182D5E" w:rsidRPr="009F4C26" w:rsidRDefault="00CA2F17"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915,235</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Non-methane volatile organic compounds (NMVOCs) - accidental release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16,900</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Benzene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15,014</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16,409</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Carbon dioxide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617,280,353</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601,481,066</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Carbon monoxide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160,783</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1,413,780</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NO3</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529,041</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529,256</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INEOS Chemicals Grangemouth Limited</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Non-methane volatile organic compounds (NMVOCs)</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910,051</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824,950</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Madderty</w:t>
            </w:r>
            <w:proofErr w:type="spellEnd"/>
            <w:r w:rsidRPr="009F4C26">
              <w:rPr>
                <w:rFonts w:ascii="Calibri" w:hAnsi="Calibri"/>
                <w:b w:val="0"/>
                <w:sz w:val="20"/>
                <w:szCs w:val="20"/>
              </w:rPr>
              <w:t xml:space="preserve"> Poultry Farm, </w:t>
            </w:r>
            <w:proofErr w:type="spellStart"/>
            <w:r w:rsidRPr="009F4C26">
              <w:rPr>
                <w:rFonts w:ascii="Calibri" w:hAnsi="Calibri"/>
                <w:b w:val="0"/>
                <w:sz w:val="20"/>
                <w:szCs w:val="20"/>
              </w:rPr>
              <w:t>Welltree</w:t>
            </w:r>
            <w:proofErr w:type="spellEnd"/>
            <w:r w:rsidRPr="009F4C26">
              <w:rPr>
                <w:rFonts w:ascii="Calibri" w:hAnsi="Calibri"/>
                <w:b w:val="0"/>
                <w:sz w:val="20"/>
                <w:szCs w:val="20"/>
              </w:rPr>
              <w:t xml:space="preserve"> Road, </w:t>
            </w:r>
            <w:proofErr w:type="spellStart"/>
            <w:r w:rsidRPr="009F4C26">
              <w:rPr>
                <w:rFonts w:ascii="Calibri" w:hAnsi="Calibri"/>
                <w:b w:val="0"/>
                <w:sz w:val="20"/>
                <w:szCs w:val="20"/>
              </w:rPr>
              <w:t>Crieff</w:t>
            </w:r>
            <w:proofErr w:type="spellEnd"/>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total</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Mains of </w:t>
            </w:r>
            <w:proofErr w:type="spellStart"/>
            <w:r w:rsidRPr="009F4C26">
              <w:rPr>
                <w:rFonts w:ascii="Calibri" w:hAnsi="Calibri"/>
                <w:b w:val="0"/>
                <w:sz w:val="20"/>
                <w:szCs w:val="20"/>
              </w:rPr>
              <w:t>Duncrub</w:t>
            </w:r>
            <w:proofErr w:type="spellEnd"/>
            <w:r w:rsidRPr="009F4C26">
              <w:rPr>
                <w:rFonts w:ascii="Calibri" w:hAnsi="Calibri"/>
                <w:b w:val="0"/>
                <w:sz w:val="20"/>
                <w:szCs w:val="20"/>
              </w:rPr>
              <w:t xml:space="preserve"> Farm, Dunning</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Methane</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Nil</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Mains of </w:t>
            </w:r>
            <w:proofErr w:type="spellStart"/>
            <w:r w:rsidRPr="009F4C26">
              <w:rPr>
                <w:rFonts w:ascii="Calibri" w:hAnsi="Calibri"/>
                <w:b w:val="0"/>
                <w:sz w:val="20"/>
                <w:szCs w:val="20"/>
              </w:rPr>
              <w:t>Duncrub</w:t>
            </w:r>
            <w:proofErr w:type="spellEnd"/>
            <w:r w:rsidRPr="009F4C26">
              <w:rPr>
                <w:rFonts w:ascii="Calibri" w:hAnsi="Calibri"/>
                <w:b w:val="0"/>
                <w:sz w:val="20"/>
                <w:szCs w:val="20"/>
              </w:rPr>
              <w:t xml:space="preserve"> Farm, Dunning</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Methane</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Nil</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Mains of </w:t>
            </w:r>
            <w:proofErr w:type="spellStart"/>
            <w:r w:rsidRPr="009F4C26">
              <w:rPr>
                <w:rFonts w:ascii="Calibri" w:hAnsi="Calibri"/>
                <w:b w:val="0"/>
                <w:sz w:val="20"/>
                <w:szCs w:val="20"/>
              </w:rPr>
              <w:t>Woodstone</w:t>
            </w:r>
            <w:proofErr w:type="spellEnd"/>
            <w:r w:rsidRPr="009F4C26">
              <w:rPr>
                <w:rFonts w:ascii="Calibri" w:hAnsi="Calibri"/>
                <w:b w:val="0"/>
                <w:sz w:val="20"/>
                <w:szCs w:val="20"/>
              </w:rPr>
              <w:t xml:space="preserve"> Free Range Egg Farm</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total</w:t>
            </w:r>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color w:val="000000"/>
                <w:sz w:val="20"/>
                <w:szCs w:val="20"/>
              </w:rPr>
            </w:pPr>
            <w:proofErr w:type="spellStart"/>
            <w:r w:rsidRPr="009F4C26">
              <w:rPr>
                <w:rFonts w:ascii="Calibri" w:hAnsi="Calibri"/>
                <w:b w:val="0"/>
                <w:color w:val="000000"/>
                <w:sz w:val="20"/>
                <w:szCs w:val="20"/>
              </w:rPr>
              <w:lastRenderedPageBreak/>
              <w:t>Meadowhead</w:t>
            </w:r>
            <w:proofErr w:type="spellEnd"/>
            <w:r w:rsidRPr="009F4C26">
              <w:rPr>
                <w:rFonts w:ascii="Calibri" w:hAnsi="Calibri"/>
                <w:b w:val="0"/>
                <w:color w:val="000000"/>
                <w:sz w:val="20"/>
                <w:szCs w:val="20"/>
              </w:rPr>
              <w:t xml:space="preserve"> Sewage Treatment Works, Irvine</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roofErr w:type="spellStart"/>
            <w:r w:rsidRPr="009F4C26">
              <w:rPr>
                <w:rFonts w:ascii="Calibri" w:hAnsi="Calibri"/>
                <w:color w:val="000000"/>
                <w:sz w:val="20"/>
                <w:szCs w:val="20"/>
              </w:rPr>
              <w:t>Lindane</w:t>
            </w:r>
            <w:proofErr w:type="spellEnd"/>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Water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0.115</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color w:val="000000"/>
                <w:sz w:val="20"/>
                <w:szCs w:val="20"/>
              </w:rPr>
            </w:pPr>
            <w:proofErr w:type="spellStart"/>
            <w:r w:rsidRPr="009F4C26">
              <w:rPr>
                <w:rFonts w:ascii="Calibri" w:hAnsi="Calibri"/>
                <w:b w:val="0"/>
                <w:color w:val="000000"/>
                <w:sz w:val="20"/>
                <w:szCs w:val="20"/>
              </w:rPr>
              <w:t>Nigg</w:t>
            </w:r>
            <w:proofErr w:type="spellEnd"/>
            <w:r w:rsidRPr="009F4C26">
              <w:rPr>
                <w:rFonts w:ascii="Calibri" w:hAnsi="Calibri"/>
                <w:b w:val="0"/>
                <w:color w:val="000000"/>
                <w:sz w:val="20"/>
                <w:szCs w:val="20"/>
              </w:rPr>
              <w:t xml:space="preserve"> WWTW, Aberdeen</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roofErr w:type="spellStart"/>
            <w:r w:rsidRPr="009F4C26">
              <w:rPr>
                <w:rFonts w:ascii="Calibri" w:hAnsi="Calibri"/>
                <w:color w:val="000000"/>
                <w:sz w:val="20"/>
                <w:szCs w:val="20"/>
              </w:rPr>
              <w:t>Lindane</w:t>
            </w:r>
            <w:proofErr w:type="spellEnd"/>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Water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no entry</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BRT</w:t>
            </w:r>
          </w:p>
        </w:tc>
      </w:tr>
      <w:tr w:rsidR="009F4C26"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color w:val="000000"/>
                <w:sz w:val="20"/>
                <w:szCs w:val="20"/>
              </w:rPr>
            </w:pPr>
            <w:proofErr w:type="spellStart"/>
            <w:r w:rsidRPr="009F4C26">
              <w:rPr>
                <w:rFonts w:ascii="Calibri" w:hAnsi="Calibri"/>
                <w:b w:val="0"/>
                <w:color w:val="000000"/>
                <w:sz w:val="20"/>
                <w:szCs w:val="20"/>
              </w:rPr>
              <w:t>Nigg</w:t>
            </w:r>
            <w:proofErr w:type="spellEnd"/>
            <w:r w:rsidRPr="009F4C26">
              <w:rPr>
                <w:rFonts w:ascii="Calibri" w:hAnsi="Calibri"/>
                <w:b w:val="0"/>
                <w:color w:val="000000"/>
                <w:sz w:val="20"/>
                <w:szCs w:val="20"/>
              </w:rPr>
              <w:t xml:space="preserve"> WWTW, Aberdeen</w:t>
            </w:r>
          </w:p>
        </w:tc>
        <w:tc>
          <w:tcPr>
            <w:tcW w:w="850"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2018</w:t>
            </w:r>
          </w:p>
        </w:tc>
        <w:tc>
          <w:tcPr>
            <w:tcW w:w="2713"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roofErr w:type="spellStart"/>
            <w:r w:rsidRPr="009F4C26">
              <w:rPr>
                <w:rFonts w:ascii="Calibri" w:hAnsi="Calibri"/>
                <w:color w:val="000000"/>
                <w:sz w:val="20"/>
                <w:szCs w:val="20"/>
              </w:rPr>
              <w:t>Hexachlorocyclohexane</w:t>
            </w:r>
            <w:proofErr w:type="spellEnd"/>
            <w:r w:rsidRPr="009F4C26">
              <w:rPr>
                <w:rFonts w:ascii="Calibri" w:hAnsi="Calibri"/>
                <w:color w:val="000000"/>
                <w:sz w:val="20"/>
                <w:szCs w:val="20"/>
              </w:rPr>
              <w:t xml:space="preserve"> - all isomers</w:t>
            </w:r>
          </w:p>
        </w:tc>
        <w:tc>
          <w:tcPr>
            <w:tcW w:w="816" w:type="dxa"/>
            <w:noWrap/>
            <w:hideMark/>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Water</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no entry</w:t>
            </w:r>
          </w:p>
        </w:tc>
        <w:tc>
          <w:tcPr>
            <w:tcW w:w="1127" w:type="dxa"/>
            <w:noWrap/>
            <w:hideMark/>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BRT</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hideMark/>
          </w:tcPr>
          <w:p w:rsidR="00182D5E" w:rsidRPr="009F4C26" w:rsidRDefault="00182D5E" w:rsidP="00182D5E">
            <w:pPr>
              <w:rPr>
                <w:rFonts w:ascii="Calibri" w:hAnsi="Calibri"/>
                <w:b w:val="0"/>
                <w:color w:val="000000"/>
                <w:sz w:val="20"/>
                <w:szCs w:val="20"/>
              </w:rPr>
            </w:pPr>
            <w:r w:rsidRPr="009F4C26">
              <w:rPr>
                <w:rFonts w:ascii="Calibri" w:hAnsi="Calibri"/>
                <w:b w:val="0"/>
                <w:color w:val="000000"/>
                <w:sz w:val="20"/>
                <w:szCs w:val="20"/>
              </w:rPr>
              <w:t>Paisley STW, Abercorn St, Paisley</w:t>
            </w:r>
          </w:p>
        </w:tc>
        <w:tc>
          <w:tcPr>
            <w:tcW w:w="850"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2018</w:t>
            </w:r>
          </w:p>
        </w:tc>
        <w:tc>
          <w:tcPr>
            <w:tcW w:w="2713"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roofErr w:type="spellStart"/>
            <w:r w:rsidRPr="009F4C26">
              <w:rPr>
                <w:rFonts w:ascii="Calibri" w:hAnsi="Calibri"/>
                <w:color w:val="000000"/>
                <w:sz w:val="20"/>
                <w:szCs w:val="20"/>
              </w:rPr>
              <w:t>Lindane</w:t>
            </w:r>
            <w:proofErr w:type="spellEnd"/>
          </w:p>
        </w:tc>
        <w:tc>
          <w:tcPr>
            <w:tcW w:w="816" w:type="dxa"/>
            <w:noWrap/>
            <w:hideMark/>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Water</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no entry</w:t>
            </w:r>
          </w:p>
        </w:tc>
        <w:tc>
          <w:tcPr>
            <w:tcW w:w="1127" w:type="dxa"/>
            <w:noWrap/>
            <w:hideMark/>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F4C26">
              <w:rPr>
                <w:rFonts w:ascii="Calibri" w:hAnsi="Calibri"/>
                <w:color w:val="000000"/>
                <w:sz w:val="20"/>
                <w:szCs w:val="20"/>
              </w:rPr>
              <w:t>BRT</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Queen Elizabeth University Hospital, Glasgow </w:t>
            </w:r>
          </w:p>
        </w:tc>
        <w:tc>
          <w:tcPr>
            <w:tcW w:w="850"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Carbon dioxide</w:t>
            </w:r>
          </w:p>
        </w:tc>
        <w:tc>
          <w:tcPr>
            <w:tcW w:w="816" w:type="dxa"/>
            <w:noWrap/>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26,495,181</w:t>
            </w:r>
          </w:p>
        </w:tc>
        <w:tc>
          <w:tcPr>
            <w:tcW w:w="1127"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19,163,030</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tcPr>
          <w:p w:rsidR="00182D5E" w:rsidRPr="009F4C26" w:rsidRDefault="00182D5E" w:rsidP="00182D5E">
            <w:pPr>
              <w:rPr>
                <w:rFonts w:ascii="Calibri" w:hAnsi="Calibri"/>
                <w:b w:val="0"/>
                <w:sz w:val="20"/>
                <w:szCs w:val="20"/>
              </w:rPr>
            </w:pPr>
            <w:r w:rsidRPr="009F4C26">
              <w:rPr>
                <w:rFonts w:ascii="Calibri" w:hAnsi="Calibri"/>
                <w:b w:val="0"/>
                <w:sz w:val="20"/>
                <w:szCs w:val="20"/>
              </w:rPr>
              <w:t xml:space="preserve">RWE </w:t>
            </w:r>
            <w:proofErr w:type="spellStart"/>
            <w:r w:rsidRPr="009F4C26">
              <w:rPr>
                <w:rFonts w:ascii="Calibri" w:hAnsi="Calibri"/>
                <w:b w:val="0"/>
                <w:sz w:val="20"/>
                <w:szCs w:val="20"/>
              </w:rPr>
              <w:t>Markinch</w:t>
            </w:r>
            <w:proofErr w:type="spellEnd"/>
            <w:r w:rsidRPr="009F4C26">
              <w:rPr>
                <w:rFonts w:ascii="Calibri" w:hAnsi="Calibri"/>
                <w:b w:val="0"/>
                <w:sz w:val="20"/>
                <w:szCs w:val="20"/>
              </w:rPr>
              <w:t xml:space="preserve"> Limited, </w:t>
            </w:r>
            <w:proofErr w:type="spellStart"/>
            <w:r w:rsidRPr="009F4C26">
              <w:rPr>
                <w:rFonts w:ascii="Calibri" w:hAnsi="Calibri"/>
                <w:b w:val="0"/>
                <w:sz w:val="20"/>
                <w:szCs w:val="20"/>
              </w:rPr>
              <w:t>Glenrothes</w:t>
            </w:r>
            <w:proofErr w:type="spellEnd"/>
          </w:p>
        </w:tc>
        <w:tc>
          <w:tcPr>
            <w:tcW w:w="850"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Carbon dioxide - biomass %</w:t>
            </w:r>
          </w:p>
        </w:tc>
        <w:tc>
          <w:tcPr>
            <w:tcW w:w="816" w:type="dxa"/>
            <w:noWrap/>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97.50%</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tcPr>
          <w:p w:rsidR="00182D5E" w:rsidRPr="009F4C26" w:rsidRDefault="00182D5E" w:rsidP="00182D5E">
            <w:pPr>
              <w:rPr>
                <w:rFonts w:ascii="Calibri" w:hAnsi="Calibri"/>
                <w:b w:val="0"/>
                <w:sz w:val="20"/>
                <w:szCs w:val="20"/>
              </w:rPr>
            </w:pPr>
            <w:r w:rsidRPr="009F4C26">
              <w:rPr>
                <w:rFonts w:ascii="Calibri" w:hAnsi="Calibri"/>
                <w:b w:val="0"/>
                <w:sz w:val="20"/>
                <w:szCs w:val="20"/>
              </w:rPr>
              <w:t>Sapphire Mill</w:t>
            </w:r>
          </w:p>
        </w:tc>
        <w:tc>
          <w:tcPr>
            <w:tcW w:w="850"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Carbon dioxide</w:t>
            </w:r>
          </w:p>
        </w:tc>
        <w:tc>
          <w:tcPr>
            <w:tcW w:w="816" w:type="dxa"/>
            <w:noWrap/>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10,522,617</w:t>
            </w:r>
          </w:p>
        </w:tc>
        <w:tc>
          <w:tcPr>
            <w:tcW w:w="1127"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13,991,489</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Simec</w:t>
            </w:r>
            <w:proofErr w:type="spellEnd"/>
            <w:r w:rsidRPr="009F4C26">
              <w:rPr>
                <w:rFonts w:ascii="Calibri" w:hAnsi="Calibri"/>
                <w:b w:val="0"/>
                <w:sz w:val="20"/>
                <w:szCs w:val="20"/>
              </w:rPr>
              <w:t xml:space="preserve"> Hydropower Lochaber, Lochaber Smelter</w:t>
            </w:r>
          </w:p>
        </w:tc>
        <w:tc>
          <w:tcPr>
            <w:tcW w:w="850"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Carbon monoxide</w:t>
            </w:r>
          </w:p>
        </w:tc>
        <w:tc>
          <w:tcPr>
            <w:tcW w:w="816" w:type="dxa"/>
            <w:noWrap/>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Simec</w:t>
            </w:r>
            <w:proofErr w:type="spellEnd"/>
            <w:r w:rsidRPr="009F4C26">
              <w:rPr>
                <w:rFonts w:ascii="Calibri" w:hAnsi="Calibri"/>
                <w:b w:val="0"/>
                <w:sz w:val="20"/>
                <w:szCs w:val="20"/>
              </w:rPr>
              <w:t xml:space="preserve"> Hydropower Lochaber, Lochaber Smelter</w:t>
            </w:r>
          </w:p>
        </w:tc>
        <w:tc>
          <w:tcPr>
            <w:tcW w:w="850"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Nitrogen oxides, NO and NO2 as NO2</w:t>
            </w:r>
          </w:p>
        </w:tc>
        <w:tc>
          <w:tcPr>
            <w:tcW w:w="816" w:type="dxa"/>
            <w:noWrap/>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182D5E" w:rsidRPr="0055519E" w:rsidTr="009F4C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3" w:type="dxa"/>
            <w:noWrap/>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Simec</w:t>
            </w:r>
            <w:proofErr w:type="spellEnd"/>
            <w:r w:rsidRPr="009F4C26">
              <w:rPr>
                <w:rFonts w:ascii="Calibri" w:hAnsi="Calibri"/>
                <w:b w:val="0"/>
                <w:sz w:val="20"/>
                <w:szCs w:val="20"/>
              </w:rPr>
              <w:t xml:space="preserve"> Hydropower Lochaber, Lochaber Smelter</w:t>
            </w:r>
          </w:p>
        </w:tc>
        <w:tc>
          <w:tcPr>
            <w:tcW w:w="850"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2018</w:t>
            </w:r>
          </w:p>
        </w:tc>
        <w:tc>
          <w:tcPr>
            <w:tcW w:w="2713" w:type="dxa"/>
            <w:noWrap/>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Particulate matter - PM10 and smaller</w:t>
            </w:r>
          </w:p>
        </w:tc>
        <w:tc>
          <w:tcPr>
            <w:tcW w:w="816" w:type="dxa"/>
            <w:noWrap/>
          </w:tcPr>
          <w:p w:rsidR="00182D5E" w:rsidRPr="009F4C26" w:rsidRDefault="00182D5E" w:rsidP="00182D5E">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no entry</w:t>
            </w:r>
          </w:p>
        </w:tc>
        <w:tc>
          <w:tcPr>
            <w:tcW w:w="1127" w:type="dxa"/>
            <w:noWrap/>
          </w:tcPr>
          <w:p w:rsidR="00182D5E" w:rsidRPr="009F4C26" w:rsidRDefault="00182D5E" w:rsidP="00182D5E">
            <w:pPr>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F4C26">
              <w:rPr>
                <w:rFonts w:ascii="Calibri" w:hAnsi="Calibri"/>
                <w:sz w:val="20"/>
                <w:szCs w:val="20"/>
              </w:rPr>
              <w:t>BRT</w:t>
            </w:r>
          </w:p>
        </w:tc>
      </w:tr>
      <w:tr w:rsidR="00182D5E" w:rsidRPr="0055519E" w:rsidTr="009F4C26">
        <w:trPr>
          <w:trHeight w:val="300"/>
        </w:trPr>
        <w:tc>
          <w:tcPr>
            <w:cnfStyle w:val="001000000000" w:firstRow="0" w:lastRow="0" w:firstColumn="1" w:lastColumn="0" w:oddVBand="0" w:evenVBand="0" w:oddHBand="0" w:evenHBand="0" w:firstRowFirstColumn="0" w:firstRowLastColumn="0" w:lastRowFirstColumn="0" w:lastRowLastColumn="0"/>
            <w:tcW w:w="3823" w:type="dxa"/>
            <w:noWrap/>
          </w:tcPr>
          <w:p w:rsidR="00182D5E" w:rsidRPr="009F4C26" w:rsidRDefault="00182D5E" w:rsidP="00182D5E">
            <w:pPr>
              <w:rPr>
                <w:rFonts w:ascii="Calibri" w:hAnsi="Calibri"/>
                <w:b w:val="0"/>
                <w:sz w:val="20"/>
                <w:szCs w:val="20"/>
              </w:rPr>
            </w:pPr>
            <w:proofErr w:type="spellStart"/>
            <w:r w:rsidRPr="009F4C26">
              <w:rPr>
                <w:rFonts w:ascii="Calibri" w:hAnsi="Calibri"/>
                <w:b w:val="0"/>
                <w:sz w:val="20"/>
                <w:szCs w:val="20"/>
              </w:rPr>
              <w:t>Wellhill</w:t>
            </w:r>
            <w:proofErr w:type="spellEnd"/>
            <w:r w:rsidRPr="009F4C26">
              <w:rPr>
                <w:rFonts w:ascii="Calibri" w:hAnsi="Calibri"/>
                <w:b w:val="0"/>
                <w:sz w:val="20"/>
                <w:szCs w:val="20"/>
              </w:rPr>
              <w:t xml:space="preserve"> Farm, Dyke, </w:t>
            </w:r>
            <w:proofErr w:type="spellStart"/>
            <w:r w:rsidRPr="009F4C26">
              <w:rPr>
                <w:rFonts w:ascii="Calibri" w:hAnsi="Calibri"/>
                <w:b w:val="0"/>
                <w:sz w:val="20"/>
                <w:szCs w:val="20"/>
              </w:rPr>
              <w:t>Forres</w:t>
            </w:r>
            <w:proofErr w:type="spellEnd"/>
            <w:r w:rsidRPr="009F4C26">
              <w:rPr>
                <w:rFonts w:ascii="Calibri" w:hAnsi="Calibri"/>
                <w:b w:val="0"/>
                <w:sz w:val="20"/>
                <w:szCs w:val="20"/>
              </w:rPr>
              <w:t>, Moray</w:t>
            </w:r>
          </w:p>
        </w:tc>
        <w:tc>
          <w:tcPr>
            <w:tcW w:w="850"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2017</w:t>
            </w:r>
          </w:p>
        </w:tc>
        <w:tc>
          <w:tcPr>
            <w:tcW w:w="2713" w:type="dxa"/>
            <w:noWrap/>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Ammonia</w:t>
            </w:r>
          </w:p>
        </w:tc>
        <w:tc>
          <w:tcPr>
            <w:tcW w:w="816" w:type="dxa"/>
            <w:noWrap/>
          </w:tcPr>
          <w:p w:rsidR="00182D5E" w:rsidRPr="009F4C26" w:rsidRDefault="00182D5E" w:rsidP="00182D5E">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Air</w:t>
            </w:r>
          </w:p>
        </w:tc>
        <w:tc>
          <w:tcPr>
            <w:tcW w:w="1127"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9,100</w:t>
            </w:r>
          </w:p>
        </w:tc>
        <w:tc>
          <w:tcPr>
            <w:tcW w:w="1127" w:type="dxa"/>
            <w:noWrap/>
          </w:tcPr>
          <w:p w:rsidR="00182D5E" w:rsidRPr="009F4C26" w:rsidRDefault="00182D5E" w:rsidP="00182D5E">
            <w:pPr>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9F4C26">
              <w:rPr>
                <w:rFonts w:ascii="Calibri" w:hAnsi="Calibri"/>
                <w:sz w:val="20"/>
                <w:szCs w:val="20"/>
              </w:rPr>
              <w:t>3,720</w:t>
            </w:r>
          </w:p>
        </w:tc>
      </w:tr>
    </w:tbl>
    <w:p w:rsidR="008850AF" w:rsidRDefault="008850AF" w:rsidP="00A20942"/>
    <w:p w:rsidR="002A0C35" w:rsidRPr="003B32B4" w:rsidRDefault="004C66F0" w:rsidP="00E044C6">
      <w:pPr>
        <w:rPr>
          <w:i/>
        </w:rPr>
      </w:pPr>
      <w:r>
        <w:rPr>
          <w:i/>
        </w:rPr>
        <w:t>Table 8</w:t>
      </w:r>
      <w:r w:rsidR="007B3E21" w:rsidRPr="003B32B4">
        <w:rPr>
          <w:i/>
        </w:rPr>
        <w:t>: Revisions to</w:t>
      </w:r>
      <w:r w:rsidR="00E372A5">
        <w:rPr>
          <w:i/>
        </w:rPr>
        <w:t xml:space="preserve"> historic</w:t>
      </w:r>
      <w:r w:rsidR="007B3E21" w:rsidRPr="003B32B4">
        <w:rPr>
          <w:i/>
        </w:rPr>
        <w:t xml:space="preserve"> SPRI waste data since last publication </w:t>
      </w:r>
    </w:p>
    <w:tbl>
      <w:tblPr>
        <w:tblStyle w:val="PlainTable1"/>
        <w:tblW w:w="0" w:type="auto"/>
        <w:tblCellMar>
          <w:left w:w="57" w:type="dxa"/>
          <w:right w:w="57" w:type="dxa"/>
        </w:tblCellMar>
        <w:tblLook w:val="04A0" w:firstRow="1" w:lastRow="0" w:firstColumn="1" w:lastColumn="0" w:noHBand="0" w:noVBand="1"/>
      </w:tblPr>
      <w:tblGrid>
        <w:gridCol w:w="5240"/>
        <w:gridCol w:w="851"/>
        <w:gridCol w:w="1559"/>
        <w:gridCol w:w="992"/>
        <w:gridCol w:w="851"/>
        <w:gridCol w:w="963"/>
      </w:tblGrid>
      <w:tr w:rsidR="008B4BAD" w:rsidRPr="008B4BAD" w:rsidTr="003B32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vMerge w:val="restart"/>
            <w:noWrap/>
            <w:hideMark/>
          </w:tcPr>
          <w:p w:rsidR="008B4BAD" w:rsidRPr="0094785C" w:rsidRDefault="008B4BAD" w:rsidP="00BA563A">
            <w:pPr>
              <w:rPr>
                <w:b w:val="0"/>
                <w:sz w:val="20"/>
                <w:szCs w:val="20"/>
              </w:rPr>
            </w:pPr>
            <w:r w:rsidRPr="0094785C">
              <w:rPr>
                <w:b w:val="0"/>
                <w:sz w:val="20"/>
                <w:szCs w:val="20"/>
              </w:rPr>
              <w:t>Site name</w:t>
            </w:r>
          </w:p>
        </w:tc>
        <w:tc>
          <w:tcPr>
            <w:tcW w:w="851" w:type="dxa"/>
            <w:vMerge w:val="restart"/>
            <w:noWrap/>
            <w:hideMark/>
          </w:tcPr>
          <w:p w:rsidR="008B4BAD" w:rsidRPr="0094785C" w:rsidRDefault="00E2323A" w:rsidP="00E2323A">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Data</w:t>
            </w:r>
            <w:r w:rsidR="003B32B4" w:rsidRPr="0094785C">
              <w:rPr>
                <w:b w:val="0"/>
                <w:sz w:val="20"/>
                <w:szCs w:val="20"/>
              </w:rPr>
              <w:t>set</w:t>
            </w:r>
            <w:r w:rsidR="008B4BAD" w:rsidRPr="0094785C">
              <w:rPr>
                <w:b w:val="0"/>
                <w:sz w:val="20"/>
                <w:szCs w:val="20"/>
              </w:rPr>
              <w:t xml:space="preserve"> year</w:t>
            </w:r>
          </w:p>
        </w:tc>
        <w:tc>
          <w:tcPr>
            <w:tcW w:w="1559" w:type="dxa"/>
            <w:vMerge w:val="restart"/>
            <w:noWrap/>
            <w:hideMark/>
          </w:tcPr>
          <w:p w:rsidR="008B4BAD" w:rsidRPr="0094785C" w:rsidRDefault="008B4BAD" w:rsidP="00BA563A">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Waste type</w:t>
            </w:r>
          </w:p>
        </w:tc>
        <w:tc>
          <w:tcPr>
            <w:tcW w:w="992" w:type="dxa"/>
            <w:vMerge w:val="restart"/>
            <w:noWrap/>
            <w:hideMark/>
          </w:tcPr>
          <w:p w:rsidR="008B4BAD" w:rsidRPr="0094785C" w:rsidRDefault="008B4BAD" w:rsidP="00BA563A">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Recovery or disposal</w:t>
            </w:r>
          </w:p>
        </w:tc>
        <w:tc>
          <w:tcPr>
            <w:tcW w:w="1814" w:type="dxa"/>
            <w:gridSpan w:val="2"/>
            <w:noWrap/>
            <w:hideMark/>
          </w:tcPr>
          <w:p w:rsidR="008B4BAD" w:rsidRPr="0094785C" w:rsidRDefault="008B4BAD">
            <w:pPr>
              <w:cnfStyle w:val="100000000000" w:firstRow="1" w:lastRow="0" w:firstColumn="0" w:lastColumn="0" w:oddVBand="0" w:evenVBand="0" w:oddHBand="0" w:evenHBand="0" w:firstRowFirstColumn="0" w:firstRowLastColumn="0" w:lastRowFirstColumn="0" w:lastRowLastColumn="0"/>
              <w:rPr>
                <w:b w:val="0"/>
                <w:sz w:val="20"/>
                <w:szCs w:val="20"/>
              </w:rPr>
            </w:pPr>
            <w:r w:rsidRPr="0094785C">
              <w:rPr>
                <w:b w:val="0"/>
                <w:sz w:val="20"/>
                <w:szCs w:val="20"/>
              </w:rPr>
              <w:t>Mass (tonnes)</w:t>
            </w:r>
          </w:p>
        </w:tc>
      </w:tr>
      <w:tr w:rsidR="00E2323A" w:rsidRPr="008B4BAD" w:rsidTr="0094785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240" w:type="dxa"/>
            <w:vMerge/>
            <w:tcBorders>
              <w:bottom w:val="single" w:sz="4" w:space="0" w:color="auto"/>
            </w:tcBorders>
            <w:hideMark/>
          </w:tcPr>
          <w:p w:rsidR="008B4BAD" w:rsidRPr="0094785C" w:rsidRDefault="008B4BAD">
            <w:pPr>
              <w:rPr>
                <w:b w:val="0"/>
                <w:sz w:val="20"/>
                <w:szCs w:val="20"/>
              </w:rPr>
            </w:pPr>
          </w:p>
        </w:tc>
        <w:tc>
          <w:tcPr>
            <w:tcW w:w="851" w:type="dxa"/>
            <w:vMerge/>
            <w:tcBorders>
              <w:bottom w:val="single" w:sz="4" w:space="0" w:color="auto"/>
            </w:tcBorders>
            <w:hideMark/>
          </w:tcPr>
          <w:p w:rsidR="008B4BAD" w:rsidRPr="0094785C" w:rsidRDefault="008B4BAD">
            <w:pP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vMerge/>
            <w:tcBorders>
              <w:bottom w:val="single" w:sz="4" w:space="0" w:color="auto"/>
            </w:tcBorders>
            <w:hideMark/>
          </w:tcPr>
          <w:p w:rsidR="008B4BAD" w:rsidRPr="0094785C" w:rsidRDefault="008B4BAD">
            <w:pPr>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vMerge/>
            <w:tcBorders>
              <w:bottom w:val="single" w:sz="4" w:space="0" w:color="auto"/>
            </w:tcBorders>
            <w:hideMark/>
          </w:tcPr>
          <w:p w:rsidR="008B4BAD" w:rsidRPr="0094785C" w:rsidRDefault="008B4BAD">
            <w:pPr>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bottom w:val="single" w:sz="4" w:space="0" w:color="auto"/>
            </w:tcBorders>
            <w:hideMark/>
          </w:tcPr>
          <w:p w:rsidR="008B4BAD" w:rsidRPr="0094785C" w:rsidRDefault="008B4BAD" w:rsidP="008B4BAD">
            <w:pPr>
              <w:cnfStyle w:val="000000100000" w:firstRow="0" w:lastRow="0" w:firstColumn="0" w:lastColumn="0" w:oddVBand="0" w:evenVBand="0" w:oddHBand="1" w:evenHBand="0" w:firstRowFirstColumn="0" w:firstRowLastColumn="0" w:lastRowFirstColumn="0" w:lastRowLastColumn="0"/>
              <w:rPr>
                <w:sz w:val="20"/>
                <w:szCs w:val="20"/>
              </w:rPr>
            </w:pPr>
            <w:r w:rsidRPr="0094785C">
              <w:rPr>
                <w:sz w:val="20"/>
                <w:szCs w:val="20"/>
              </w:rPr>
              <w:t xml:space="preserve">original </w:t>
            </w:r>
          </w:p>
        </w:tc>
        <w:tc>
          <w:tcPr>
            <w:tcW w:w="963" w:type="dxa"/>
            <w:tcBorders>
              <w:bottom w:val="single" w:sz="4" w:space="0" w:color="auto"/>
            </w:tcBorders>
            <w:hideMark/>
          </w:tcPr>
          <w:p w:rsidR="008B4BAD" w:rsidRPr="0094785C" w:rsidRDefault="008B4BAD" w:rsidP="008B4BAD">
            <w:pPr>
              <w:cnfStyle w:val="000000100000" w:firstRow="0" w:lastRow="0" w:firstColumn="0" w:lastColumn="0" w:oddVBand="0" w:evenVBand="0" w:oddHBand="1" w:evenHBand="0" w:firstRowFirstColumn="0" w:firstRowLastColumn="0" w:lastRowFirstColumn="0" w:lastRowLastColumn="0"/>
              <w:rPr>
                <w:sz w:val="20"/>
                <w:szCs w:val="20"/>
              </w:rPr>
            </w:pPr>
            <w:r w:rsidRPr="0094785C">
              <w:rPr>
                <w:sz w:val="20"/>
                <w:szCs w:val="20"/>
              </w:rPr>
              <w:t xml:space="preserve">new </w:t>
            </w:r>
          </w:p>
        </w:tc>
      </w:tr>
      <w:tr w:rsidR="00E2323A" w:rsidRPr="008B4BAD" w:rsidTr="0094785C">
        <w:trPr>
          <w:trHeight w:val="30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tcBorders>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Allers</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tcBorders>
              <w:top w:val="single" w:sz="4" w:space="0" w:color="auto"/>
            </w:tcBorders>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tcBorders>
              <w:top w:val="single" w:sz="4" w:space="0" w:color="auto"/>
            </w:tcBorders>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tcBorders>
              <w:top w:val="single" w:sz="4" w:space="0" w:color="auto"/>
            </w:tcBorders>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tcBorders>
              <w:top w:val="single" w:sz="4" w:space="0" w:color="auto"/>
            </w:tcBorders>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22,988</w:t>
            </w:r>
          </w:p>
        </w:tc>
        <w:tc>
          <w:tcPr>
            <w:tcW w:w="963" w:type="dxa"/>
            <w:tcBorders>
              <w:top w:val="single" w:sz="4" w:space="0" w:color="auto"/>
            </w:tcBorders>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23,983</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Alloa</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8,002</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16,546</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Annan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4,025</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4,623</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Ardoch</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21,555</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19,904</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Armadale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5,550</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8,548</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Bathgate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3,300</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9,563</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Bo'ness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4,270</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10,522</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Bonnybridge</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3,501</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5,966</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Bothwellbank</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13,005</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18,610</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Carbarns</w:t>
            </w:r>
            <w:proofErr w:type="spellEnd"/>
            <w:r w:rsidRPr="00E2323A">
              <w:rPr>
                <w:rFonts w:ascii="Calibri" w:hAnsi="Calibri"/>
                <w:b w:val="0"/>
                <w:color w:val="000000"/>
                <w:sz w:val="20"/>
              </w:rPr>
              <w:t xml:space="preserve"> (Motherwell)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2,555</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23,035</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Cumnock Underwood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2,368</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2,097</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Cupar</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22,500</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2,000</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sz w:val="20"/>
              </w:rPr>
            </w:pPr>
            <w:proofErr w:type="spellStart"/>
            <w:r w:rsidRPr="00E2323A">
              <w:rPr>
                <w:rFonts w:ascii="Calibri" w:hAnsi="Calibri"/>
                <w:b w:val="0"/>
                <w:sz w:val="20"/>
              </w:rPr>
              <w:t>Dalinlongart</w:t>
            </w:r>
            <w:proofErr w:type="spellEnd"/>
            <w:r w:rsidRPr="00E2323A">
              <w:rPr>
                <w:rFonts w:ascii="Calibri" w:hAnsi="Calibri"/>
                <w:b w:val="0"/>
                <w:sz w:val="20"/>
              </w:rPr>
              <w:t xml:space="preserve"> L/F &amp; Compost, Sandbank, </w:t>
            </w:r>
            <w:proofErr w:type="spellStart"/>
            <w:r w:rsidRPr="00E2323A">
              <w:rPr>
                <w:rFonts w:ascii="Calibri" w:hAnsi="Calibri"/>
                <w:b w:val="0"/>
                <w:sz w:val="20"/>
              </w:rPr>
              <w:t>Dunoon</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Hazardous</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Disposal</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179</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no entry</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sz w:val="20"/>
              </w:rPr>
            </w:pPr>
            <w:proofErr w:type="spellStart"/>
            <w:r w:rsidRPr="00E2323A">
              <w:rPr>
                <w:rFonts w:ascii="Calibri" w:hAnsi="Calibri"/>
                <w:b w:val="0"/>
                <w:sz w:val="20"/>
              </w:rPr>
              <w:t>Dalinlongart</w:t>
            </w:r>
            <w:proofErr w:type="spellEnd"/>
            <w:r w:rsidRPr="00E2323A">
              <w:rPr>
                <w:rFonts w:ascii="Calibri" w:hAnsi="Calibri"/>
                <w:b w:val="0"/>
                <w:sz w:val="20"/>
              </w:rPr>
              <w:t xml:space="preserve"> L/F &amp; Compost, Sandbank, </w:t>
            </w:r>
            <w:proofErr w:type="spellStart"/>
            <w:r w:rsidRPr="00E2323A">
              <w:rPr>
                <w:rFonts w:ascii="Calibri" w:hAnsi="Calibri"/>
                <w:b w:val="0"/>
                <w:sz w:val="20"/>
              </w:rPr>
              <w:t>Dunoon</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Hazardous</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Recovery </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no entry</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179</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sz w:val="20"/>
              </w:rPr>
            </w:pPr>
            <w:proofErr w:type="spellStart"/>
            <w:r w:rsidRPr="00E2323A">
              <w:rPr>
                <w:rFonts w:ascii="Calibri" w:hAnsi="Calibri"/>
                <w:b w:val="0"/>
                <w:sz w:val="20"/>
              </w:rPr>
              <w:t>Dalinlongart</w:t>
            </w:r>
            <w:proofErr w:type="spellEnd"/>
            <w:r w:rsidRPr="00E2323A">
              <w:rPr>
                <w:rFonts w:ascii="Calibri" w:hAnsi="Calibri"/>
                <w:b w:val="0"/>
                <w:sz w:val="20"/>
              </w:rPr>
              <w:t xml:space="preserve"> L/F &amp; Compost, Sandbank, </w:t>
            </w:r>
            <w:proofErr w:type="spellStart"/>
            <w:r w:rsidRPr="00E2323A">
              <w:rPr>
                <w:rFonts w:ascii="Calibri" w:hAnsi="Calibri"/>
                <w:b w:val="0"/>
                <w:sz w:val="20"/>
              </w:rPr>
              <w:t>Dunoon</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Disposal</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2,871</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no entry</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sz w:val="20"/>
              </w:rPr>
            </w:pPr>
            <w:proofErr w:type="spellStart"/>
            <w:r w:rsidRPr="00E2323A">
              <w:rPr>
                <w:rFonts w:ascii="Calibri" w:hAnsi="Calibri"/>
                <w:b w:val="0"/>
                <w:sz w:val="20"/>
              </w:rPr>
              <w:t>Dalinlongart</w:t>
            </w:r>
            <w:proofErr w:type="spellEnd"/>
            <w:r w:rsidRPr="00E2323A">
              <w:rPr>
                <w:rFonts w:ascii="Calibri" w:hAnsi="Calibri"/>
                <w:b w:val="0"/>
                <w:sz w:val="20"/>
              </w:rPr>
              <w:t xml:space="preserve"> L/F &amp; Compost, Sandbank, </w:t>
            </w:r>
            <w:proofErr w:type="spellStart"/>
            <w:r w:rsidRPr="00E2323A">
              <w:rPr>
                <w:rFonts w:ascii="Calibri" w:hAnsi="Calibri"/>
                <w:b w:val="0"/>
                <w:sz w:val="20"/>
              </w:rPr>
              <w:t>Dunoon</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no entry</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2,871</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Dalmarnock</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no entry</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30.05</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Dunbar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4,560</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1,972</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Dunfermline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18,675</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10,425</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Ellon</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12,175</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10,863</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Erskine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9,105</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26.78</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Forfar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no entry</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11,904</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Forres</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6,450</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5,316</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Galashiels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10,161</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4,606</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Hamilton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no entry</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33,619</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Hawick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11,307</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8,304</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Helensburgh</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no entry</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5,065</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Inverurie</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5,040</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14,561</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lastRenderedPageBreak/>
              <w:t xml:space="preserve">Iron Mill Bay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3,780</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4,549</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Kinneil</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Kerse</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13,717</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9,925</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Loch Ryan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4,020</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511</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Mauldsie</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Carluke</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7,010</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10,535</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sz w:val="20"/>
              </w:rPr>
            </w:pPr>
            <w:proofErr w:type="spellStart"/>
            <w:r w:rsidRPr="00E2323A">
              <w:rPr>
                <w:rFonts w:ascii="Calibri" w:hAnsi="Calibri"/>
                <w:b w:val="0"/>
                <w:sz w:val="20"/>
              </w:rPr>
              <w:t>Millerhill</w:t>
            </w:r>
            <w:proofErr w:type="spellEnd"/>
            <w:r w:rsidRPr="00E2323A">
              <w:rPr>
                <w:rFonts w:ascii="Calibri" w:hAnsi="Calibri"/>
                <w:b w:val="0"/>
                <w:sz w:val="20"/>
              </w:rPr>
              <w:t xml:space="preserve"> Recycling &amp; Energy Recovery Centre</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Disposal</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no entry</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351,701</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sz w:val="20"/>
              </w:rPr>
            </w:pPr>
            <w:proofErr w:type="spellStart"/>
            <w:r w:rsidRPr="00E2323A">
              <w:rPr>
                <w:rFonts w:ascii="Calibri" w:hAnsi="Calibri"/>
                <w:b w:val="0"/>
                <w:sz w:val="20"/>
              </w:rPr>
              <w:t>Millerhill</w:t>
            </w:r>
            <w:proofErr w:type="spellEnd"/>
            <w:r w:rsidRPr="00E2323A">
              <w:rPr>
                <w:rFonts w:ascii="Calibri" w:hAnsi="Calibri"/>
                <w:b w:val="0"/>
                <w:sz w:val="20"/>
              </w:rPr>
              <w:t xml:space="preserve"> Recycling &amp; Energy Recovery Centre</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351,701</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no entry</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sz w:val="20"/>
              </w:rPr>
            </w:pPr>
            <w:r w:rsidRPr="00E2323A">
              <w:rPr>
                <w:rFonts w:ascii="Calibri" w:hAnsi="Calibri"/>
                <w:b w:val="0"/>
                <w:sz w:val="20"/>
              </w:rPr>
              <w:t xml:space="preserve">NRC Environmental, 10 River Drive, </w:t>
            </w:r>
            <w:proofErr w:type="spellStart"/>
            <w:r w:rsidRPr="00E2323A">
              <w:rPr>
                <w:rFonts w:ascii="Calibri" w:hAnsi="Calibri"/>
                <w:b w:val="0"/>
                <w:sz w:val="20"/>
              </w:rPr>
              <w:t>Alness</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Hazardous</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Disposal</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1,628</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1,372</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sz w:val="20"/>
              </w:rPr>
            </w:pPr>
            <w:r w:rsidRPr="00E2323A">
              <w:rPr>
                <w:rFonts w:ascii="Calibri" w:hAnsi="Calibri"/>
                <w:b w:val="0"/>
                <w:sz w:val="20"/>
              </w:rPr>
              <w:t xml:space="preserve">NRC Environmental, 10 River Drive, </w:t>
            </w:r>
            <w:proofErr w:type="spellStart"/>
            <w:r w:rsidRPr="00E2323A">
              <w:rPr>
                <w:rFonts w:ascii="Calibri" w:hAnsi="Calibri"/>
                <w:b w:val="0"/>
                <w:sz w:val="20"/>
              </w:rPr>
              <w:t>Alness</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Disposal</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6,046</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3,923</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Perth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12,900</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14,311</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Philipshill</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25,890</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30,807</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proofErr w:type="spellStart"/>
            <w:r w:rsidRPr="00E2323A">
              <w:rPr>
                <w:rFonts w:ascii="Calibri" w:hAnsi="Calibri"/>
                <w:b w:val="0"/>
                <w:color w:val="000000"/>
                <w:sz w:val="20"/>
              </w:rPr>
              <w:t>Skellyton</w:t>
            </w:r>
            <w:proofErr w:type="spellEnd"/>
            <w:r w:rsidRPr="00E2323A">
              <w:rPr>
                <w:rFonts w:ascii="Calibri" w:hAnsi="Calibri"/>
                <w:b w:val="0"/>
                <w:color w:val="000000"/>
                <w:sz w:val="20"/>
              </w:rPr>
              <w:t xml:space="preserve">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8,059</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11,881</w:t>
            </w:r>
          </w:p>
        </w:tc>
      </w:tr>
      <w:tr w:rsidR="003B32B4" w:rsidRPr="008B4BAD" w:rsidTr="003B3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2323A" w:rsidP="00E2323A">
            <w:pPr>
              <w:rPr>
                <w:rFonts w:ascii="Calibri" w:hAnsi="Calibri"/>
                <w:b w:val="0"/>
                <w:color w:val="000000"/>
                <w:sz w:val="20"/>
              </w:rPr>
            </w:pPr>
            <w:r w:rsidRPr="00E2323A">
              <w:rPr>
                <w:rFonts w:ascii="Calibri" w:hAnsi="Calibri"/>
                <w:b w:val="0"/>
                <w:color w:val="000000"/>
                <w:sz w:val="20"/>
              </w:rPr>
              <w:t xml:space="preserve">Stirling </w:t>
            </w:r>
            <w:proofErr w:type="spellStart"/>
            <w:r w:rsidRPr="00E2323A">
              <w:rPr>
                <w:rFonts w:ascii="Calibri" w:hAnsi="Calibri"/>
                <w:b w:val="0"/>
                <w:color w:val="000000"/>
                <w:sz w:val="20"/>
              </w:rPr>
              <w:t>WwTW</w:t>
            </w:r>
            <w:proofErr w:type="spellEnd"/>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2,063</w:t>
            </w:r>
          </w:p>
        </w:tc>
        <w:tc>
          <w:tcPr>
            <w:tcW w:w="963" w:type="dxa"/>
            <w:noWrap/>
          </w:tcPr>
          <w:p w:rsidR="00E2323A" w:rsidRPr="00E2323A" w:rsidRDefault="00E2323A" w:rsidP="00E2323A">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E2323A">
              <w:rPr>
                <w:rFonts w:ascii="Calibri" w:hAnsi="Calibri"/>
                <w:color w:val="000000"/>
                <w:sz w:val="20"/>
              </w:rPr>
              <w:t>24,415</w:t>
            </w:r>
          </w:p>
        </w:tc>
      </w:tr>
      <w:tr w:rsidR="00E2323A" w:rsidRPr="008B4BAD" w:rsidTr="003B32B4">
        <w:trPr>
          <w:trHeight w:val="300"/>
        </w:trPr>
        <w:tc>
          <w:tcPr>
            <w:cnfStyle w:val="001000000000" w:firstRow="0" w:lastRow="0" w:firstColumn="1" w:lastColumn="0" w:oddVBand="0" w:evenVBand="0" w:oddHBand="0" w:evenHBand="0" w:firstRowFirstColumn="0" w:firstRowLastColumn="0" w:lastRowFirstColumn="0" w:lastRowLastColumn="0"/>
            <w:tcW w:w="5240" w:type="dxa"/>
            <w:noWrap/>
          </w:tcPr>
          <w:p w:rsidR="00E2323A" w:rsidRPr="00E2323A" w:rsidRDefault="00E54343" w:rsidP="00E2323A">
            <w:pPr>
              <w:rPr>
                <w:rFonts w:ascii="Calibri" w:hAnsi="Calibri"/>
                <w:b w:val="0"/>
                <w:color w:val="000000"/>
                <w:sz w:val="20"/>
              </w:rPr>
            </w:pPr>
            <w:proofErr w:type="spellStart"/>
            <w:r>
              <w:rPr>
                <w:rFonts w:ascii="Calibri" w:hAnsi="Calibri"/>
                <w:b w:val="0"/>
                <w:color w:val="000000"/>
                <w:sz w:val="20"/>
              </w:rPr>
              <w:t>Swinstie</w:t>
            </w:r>
            <w:proofErr w:type="spellEnd"/>
            <w:r>
              <w:rPr>
                <w:rFonts w:ascii="Calibri" w:hAnsi="Calibri"/>
                <w:b w:val="0"/>
                <w:color w:val="000000"/>
                <w:sz w:val="20"/>
              </w:rPr>
              <w:t xml:space="preserve"> (Cleland) </w:t>
            </w:r>
            <w:proofErr w:type="spellStart"/>
            <w:r>
              <w:rPr>
                <w:rFonts w:ascii="Calibri" w:hAnsi="Calibri"/>
                <w:b w:val="0"/>
                <w:color w:val="000000"/>
                <w:sz w:val="20"/>
              </w:rPr>
              <w:t>Ww</w:t>
            </w:r>
            <w:r w:rsidR="00E2323A" w:rsidRPr="00E2323A">
              <w:rPr>
                <w:rFonts w:ascii="Calibri" w:hAnsi="Calibri"/>
                <w:b w:val="0"/>
                <w:color w:val="000000"/>
                <w:sz w:val="20"/>
              </w:rPr>
              <w:t>TW</w:t>
            </w:r>
            <w:proofErr w:type="spellEnd"/>
            <w:r w:rsidR="00E2323A" w:rsidRPr="00E2323A">
              <w:rPr>
                <w:rFonts w:ascii="Calibri" w:hAnsi="Calibri"/>
                <w:b w:val="0"/>
                <w:color w:val="000000"/>
                <w:sz w:val="20"/>
              </w:rPr>
              <w:t xml:space="preserve"> </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2018</w:t>
            </w:r>
          </w:p>
        </w:tc>
        <w:tc>
          <w:tcPr>
            <w:tcW w:w="1559"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2323A">
              <w:rPr>
                <w:rFonts w:ascii="Calibri" w:hAnsi="Calibri"/>
                <w:sz w:val="20"/>
              </w:rPr>
              <w:t xml:space="preserve">Non hazardous </w:t>
            </w:r>
          </w:p>
        </w:tc>
        <w:tc>
          <w:tcPr>
            <w:tcW w:w="992" w:type="dxa"/>
            <w:noWrap/>
          </w:tcPr>
          <w:p w:rsidR="00E2323A" w:rsidRPr="00E2323A" w:rsidRDefault="00E2323A" w:rsidP="00E2323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Recovery</w:t>
            </w:r>
          </w:p>
        </w:tc>
        <w:tc>
          <w:tcPr>
            <w:tcW w:w="851"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3,624</w:t>
            </w:r>
          </w:p>
        </w:tc>
        <w:tc>
          <w:tcPr>
            <w:tcW w:w="963" w:type="dxa"/>
            <w:noWrap/>
          </w:tcPr>
          <w:p w:rsidR="00E2323A" w:rsidRPr="00E2323A" w:rsidRDefault="00E2323A" w:rsidP="00E2323A">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rPr>
            </w:pPr>
            <w:r w:rsidRPr="00E2323A">
              <w:rPr>
                <w:rFonts w:ascii="Calibri" w:hAnsi="Calibri"/>
                <w:color w:val="000000"/>
                <w:sz w:val="20"/>
              </w:rPr>
              <w:t>8,091</w:t>
            </w:r>
          </w:p>
        </w:tc>
      </w:tr>
    </w:tbl>
    <w:p w:rsidR="00E044C6" w:rsidRDefault="00E044C6">
      <w:pPr>
        <w:rPr>
          <w:rFonts w:eastAsiaTheme="majorEastAsia" w:cstheme="majorBidi"/>
          <w:b/>
          <w:sz w:val="24"/>
          <w:szCs w:val="24"/>
        </w:rPr>
      </w:pPr>
    </w:p>
    <w:p w:rsidR="00D03D6B" w:rsidRDefault="009569C3" w:rsidP="007572EA">
      <w:pPr>
        <w:pStyle w:val="Heading3"/>
      </w:pPr>
      <w:bookmarkStart w:id="15" w:name="_Toc51591153"/>
      <w:r>
        <w:t xml:space="preserve">2.5 </w:t>
      </w:r>
      <w:r w:rsidR="00D03D6B">
        <w:t>Release</w:t>
      </w:r>
      <w:bookmarkEnd w:id="15"/>
    </w:p>
    <w:p w:rsidR="00B03717" w:rsidRPr="00B03717" w:rsidRDefault="00B03717" w:rsidP="00B03717">
      <w:pPr>
        <w:spacing w:after="0"/>
      </w:pPr>
    </w:p>
    <w:p w:rsidR="00D03D6B" w:rsidRPr="00B03717" w:rsidRDefault="00D03D6B" w:rsidP="003F50B0">
      <w:r w:rsidRPr="00B03717">
        <w:t xml:space="preserve">The release of this publication is in line with practices specified in the Code of Practice for Official Statistics. The statistics are released at the standard time of 9.30 am on a preannounced weekday date. Pre-release access to the statistics in their final form is provided to Scottish </w:t>
      </w:r>
      <w:r w:rsidR="00B56161">
        <w:t>M</w:t>
      </w:r>
      <w:r w:rsidRPr="00B03717">
        <w:t xml:space="preserve">inisters and those on a list of named officials advising them </w:t>
      </w:r>
      <w:r w:rsidR="00083F13">
        <w:t>five</w:t>
      </w:r>
      <w:r w:rsidRPr="00B03717">
        <w:t xml:space="preserve"> working days before the public release. This is to ensure that at the time of release Scottish </w:t>
      </w:r>
      <w:r w:rsidR="00192C79">
        <w:t>M</w:t>
      </w:r>
      <w:r w:rsidRPr="00B03717">
        <w:t>inisters are able to comment publicly on the statistics based on a correct understanding of them.</w:t>
      </w:r>
      <w:r w:rsidR="00D15A84">
        <w:t xml:space="preserve">  </w:t>
      </w:r>
    </w:p>
    <w:p w:rsidR="00D03D6B" w:rsidRDefault="00D03D6B" w:rsidP="00D03D6B"/>
    <w:p w:rsidR="002A0C35" w:rsidRDefault="002A0C35" w:rsidP="00807BA3"/>
    <w:p w:rsidR="00E044C6" w:rsidRDefault="00E044C6">
      <w:pPr>
        <w:rPr>
          <w:rStyle w:val="Heading2Char"/>
        </w:rPr>
      </w:pPr>
      <w:r>
        <w:rPr>
          <w:rStyle w:val="Heading2Char"/>
          <w:b w:val="0"/>
        </w:rPr>
        <w:br w:type="page"/>
      </w:r>
    </w:p>
    <w:p w:rsidR="002A0C35" w:rsidRPr="002A0C35" w:rsidRDefault="009569C3" w:rsidP="002A0C35">
      <w:pPr>
        <w:pStyle w:val="Heading2"/>
        <w:rPr>
          <w:b w:val="0"/>
        </w:rPr>
      </w:pPr>
      <w:bookmarkStart w:id="16" w:name="_Toc51591154"/>
      <w:r>
        <w:rPr>
          <w:rStyle w:val="Heading2Char"/>
          <w:b/>
        </w:rPr>
        <w:lastRenderedPageBreak/>
        <w:t>3.</w:t>
      </w:r>
      <w:r w:rsidR="00D03D6B">
        <w:rPr>
          <w:rStyle w:val="Heading2Char"/>
          <w:b/>
        </w:rPr>
        <w:t xml:space="preserve"> </w:t>
      </w:r>
      <w:proofErr w:type="gramStart"/>
      <w:r w:rsidR="005F7DA5">
        <w:rPr>
          <w:rStyle w:val="Heading2Char"/>
          <w:b/>
        </w:rPr>
        <w:t>About</w:t>
      </w:r>
      <w:proofErr w:type="gramEnd"/>
      <w:r w:rsidR="00134326" w:rsidRPr="002A0C35">
        <w:rPr>
          <w:rStyle w:val="Heading2Char"/>
          <w:b/>
        </w:rPr>
        <w:t xml:space="preserve"> </w:t>
      </w:r>
      <w:r w:rsidR="005F7DA5" w:rsidRPr="005F7DA5">
        <w:rPr>
          <w:rStyle w:val="Heading2Char"/>
          <w:b/>
        </w:rPr>
        <w:t>the Scottish Pollutant Release Inventory</w:t>
      </w:r>
      <w:bookmarkEnd w:id="16"/>
    </w:p>
    <w:p w:rsidR="002A0C35" w:rsidRDefault="002A0C35" w:rsidP="00807BA3"/>
    <w:p w:rsidR="00C803D7" w:rsidRDefault="009569C3" w:rsidP="00E6197A">
      <w:pPr>
        <w:pStyle w:val="Heading3"/>
        <w:rPr>
          <w:rStyle w:val="Heading3Char"/>
          <w:b/>
        </w:rPr>
      </w:pPr>
      <w:bookmarkStart w:id="17" w:name="_Toc51591155"/>
      <w:r>
        <w:rPr>
          <w:rStyle w:val="Heading3Char"/>
          <w:b/>
        </w:rPr>
        <w:t xml:space="preserve">3.1 </w:t>
      </w:r>
      <w:r w:rsidR="00C803D7">
        <w:rPr>
          <w:rStyle w:val="Heading3Char"/>
          <w:b/>
        </w:rPr>
        <w:t>What is the Scottish Pollutant Releases Inventory?</w:t>
      </w:r>
      <w:bookmarkEnd w:id="17"/>
      <w:r w:rsidR="00661F7D">
        <w:rPr>
          <w:rStyle w:val="Heading3Char"/>
          <w:b/>
        </w:rPr>
        <w:t xml:space="preserve"> </w:t>
      </w:r>
    </w:p>
    <w:p w:rsidR="00E6197A" w:rsidRPr="004D63CA" w:rsidRDefault="00E6197A" w:rsidP="00E6197A">
      <w:pPr>
        <w:spacing w:after="0"/>
      </w:pPr>
    </w:p>
    <w:p w:rsidR="00134326" w:rsidRPr="004D63CA" w:rsidRDefault="00134326" w:rsidP="00C803D7">
      <w:r w:rsidRPr="004D63CA">
        <w:t>The SPRI is a Pollutant Release and Transfer Register (PRTR) and has the pr</w:t>
      </w:r>
      <w:r w:rsidR="002E1FC5">
        <w:t>imary purpose of making public</w:t>
      </w:r>
      <w:r w:rsidRPr="004D63CA">
        <w:t>ly available officially reported annual releases</w:t>
      </w:r>
      <w:r w:rsidR="0097508E" w:rsidRPr="004D63CA">
        <w:t xml:space="preserve"> of specified pollutants to air and</w:t>
      </w:r>
      <w:r w:rsidRPr="004D63CA">
        <w:t xml:space="preserve"> water </w:t>
      </w:r>
      <w:r w:rsidR="00372DA3">
        <w:t>from</w:t>
      </w:r>
      <w:r w:rsidRPr="004D63CA">
        <w:t xml:space="preserve"> </w:t>
      </w:r>
      <w:r w:rsidR="0097508E" w:rsidRPr="004D63CA">
        <w:t xml:space="preserve">SEPA-regulated </w:t>
      </w:r>
      <w:r w:rsidRPr="004D63CA">
        <w:t xml:space="preserve">industrial facilities. It also provides information on off-site transfers of waste </w:t>
      </w:r>
      <w:r w:rsidR="00C803D7" w:rsidRPr="004D63CA">
        <w:t xml:space="preserve">and waste-water </w:t>
      </w:r>
      <w:r w:rsidRPr="004D63CA">
        <w:t xml:space="preserve">from these facilities. </w:t>
      </w:r>
    </w:p>
    <w:p w:rsidR="005542DE" w:rsidRPr="004D63CA" w:rsidRDefault="00134326" w:rsidP="00C803D7">
      <w:r w:rsidRPr="004D63CA">
        <w:t>The SPRI data is collected, quality assured and made public under the requirements of Freedom of Information and can be compared with P</w:t>
      </w:r>
      <w:r w:rsidR="009C74B5" w:rsidRPr="004D63CA">
        <w:t xml:space="preserve">RTR </w:t>
      </w:r>
      <w:r w:rsidR="00372DA3">
        <w:t>information from</w:t>
      </w:r>
      <w:r w:rsidR="009C74B5" w:rsidRPr="004D63CA">
        <w:t xml:space="preserve"> other countries. </w:t>
      </w:r>
      <w:r w:rsidR="005542DE" w:rsidRPr="004D63CA">
        <w:t>SPRI data</w:t>
      </w:r>
      <w:r w:rsidR="00372DA3">
        <w:t>sets</w:t>
      </w:r>
      <w:r w:rsidR="005542DE" w:rsidRPr="004D63CA">
        <w:t xml:space="preserve"> from 2002 to the present year (except 2003) </w:t>
      </w:r>
      <w:r w:rsidR="00372DA3">
        <w:t>are</w:t>
      </w:r>
      <w:r w:rsidR="005542DE" w:rsidRPr="004D63CA">
        <w:t xml:space="preserve"> available and reported annually.</w:t>
      </w:r>
    </w:p>
    <w:p w:rsidR="005542DE" w:rsidRDefault="009C74B5" w:rsidP="00807BA3">
      <w:r w:rsidRPr="004D63CA">
        <w:t xml:space="preserve">A full list of the pollutants whose emissions must be reported can be found on the </w:t>
      </w:r>
      <w:hyperlink r:id="rId38" w:history="1">
        <w:r w:rsidRPr="004D63CA">
          <w:rPr>
            <w:rStyle w:val="Hyperlink"/>
            <w:color w:val="5B9BD5" w:themeColor="accent1"/>
          </w:rPr>
          <w:t>SPRI Schedule</w:t>
        </w:r>
      </w:hyperlink>
      <w:r w:rsidRPr="004D63CA">
        <w:t xml:space="preserve">, which is updated annually.  </w:t>
      </w:r>
      <w:r w:rsidR="00E6197A" w:rsidRPr="004D63CA">
        <w:t>SPRI pollutants are substances considered to be environmentally significant and of interest to the public.</w:t>
      </w:r>
    </w:p>
    <w:p w:rsidR="008F5EF9" w:rsidRDefault="008F5EF9" w:rsidP="00807BA3"/>
    <w:p w:rsidR="002A0C35" w:rsidRDefault="009569C3" w:rsidP="007572EA">
      <w:pPr>
        <w:pStyle w:val="Heading3"/>
      </w:pPr>
      <w:bookmarkStart w:id="18" w:name="_Toc51591156"/>
      <w:r>
        <w:rPr>
          <w:rStyle w:val="Heading3Char"/>
          <w:b/>
        </w:rPr>
        <w:t xml:space="preserve">3.2 </w:t>
      </w:r>
      <w:r w:rsidR="005542DE" w:rsidRPr="002A0C35">
        <w:rPr>
          <w:rStyle w:val="Heading3Char"/>
          <w:b/>
        </w:rPr>
        <w:t>Who reports</w:t>
      </w:r>
      <w:r w:rsidR="00661F7D">
        <w:rPr>
          <w:rStyle w:val="Heading3Char"/>
          <w:b/>
        </w:rPr>
        <w:t>?</w:t>
      </w:r>
      <w:bookmarkEnd w:id="18"/>
      <w:r w:rsidR="005542DE" w:rsidRPr="002A0C35">
        <w:t xml:space="preserve"> </w:t>
      </w:r>
    </w:p>
    <w:p w:rsidR="00E6197A" w:rsidRPr="00E6197A" w:rsidRDefault="00E6197A" w:rsidP="00E6197A">
      <w:pPr>
        <w:spacing w:after="0"/>
      </w:pPr>
    </w:p>
    <w:p w:rsidR="005542DE" w:rsidRPr="004D63CA" w:rsidRDefault="005542DE" w:rsidP="00E6197A">
      <w:r w:rsidRPr="004D63CA">
        <w:t xml:space="preserve">Operators of </w:t>
      </w:r>
      <w:r w:rsidR="00E6197A" w:rsidRPr="004D63CA">
        <w:t>sites carrying out specific</w:t>
      </w:r>
      <w:r w:rsidRPr="004D63CA">
        <w:t xml:space="preserve"> activities (67 activities covering 10 major sectors) above </w:t>
      </w:r>
      <w:r w:rsidR="00E6197A" w:rsidRPr="004D63CA">
        <w:t>defined</w:t>
      </w:r>
      <w:r w:rsidRPr="004D63CA">
        <w:t xml:space="preserve"> capacity thresholds are obliged to report to SPRI on an annual basis. The activities and thresholds are largely determined by European reporting requirements but some thresholds have been lowered to be relevant to pollutant releases in the UK and Scotland. Below is a brief summary of the SPRI activities and thresholds:</w:t>
      </w:r>
    </w:p>
    <w:p w:rsidR="00661F7D" w:rsidRPr="004D63CA" w:rsidRDefault="00661F7D" w:rsidP="00661F7D">
      <w:pPr>
        <w:pStyle w:val="ListParagraph"/>
        <w:numPr>
          <w:ilvl w:val="0"/>
          <w:numId w:val="1"/>
        </w:numPr>
      </w:pPr>
      <w:r w:rsidRPr="004D63CA">
        <w:t xml:space="preserve">Most Part </w:t>
      </w:r>
      <w:proofErr w:type="gramStart"/>
      <w:r w:rsidRPr="004D63CA">
        <w:t>A</w:t>
      </w:r>
      <w:proofErr w:type="gramEnd"/>
      <w:r w:rsidRPr="004D63CA">
        <w:t xml:space="preserve"> processes defined in the Pollution Prevention and Control (Scotland) Regulations 2012 (as amended), together with any directly associated activities. These are the bigger industrial activities covering the energy, mineral, metal, chemical, waste management, food and drink, paper and pulp and intensive agricultural sectors;</w:t>
      </w:r>
    </w:p>
    <w:p w:rsidR="00661F7D" w:rsidRPr="004D63CA" w:rsidRDefault="00661F7D" w:rsidP="00661F7D">
      <w:pPr>
        <w:pStyle w:val="ListParagraph"/>
        <w:numPr>
          <w:ilvl w:val="0"/>
          <w:numId w:val="1"/>
        </w:numPr>
      </w:pPr>
      <w:r w:rsidRPr="004D63CA">
        <w:t>Municipal sewage treatment works with a design population equivalent of &gt;15,000 population equivalent (where population equivalent has the meaning given in the Urban Waste Water Treatment (Scotland) Regulations (UWWTR);</w:t>
      </w:r>
    </w:p>
    <w:p w:rsidR="00661F7D" w:rsidRPr="004D63CA" w:rsidRDefault="00661F7D" w:rsidP="00661F7D">
      <w:pPr>
        <w:pStyle w:val="ListParagraph"/>
        <w:numPr>
          <w:ilvl w:val="0"/>
          <w:numId w:val="1"/>
        </w:numPr>
      </w:pPr>
      <w:r w:rsidRPr="004D63CA">
        <w:t>All industrial wastewater treatment plants with a capacity to treat at least 10,000 m3/d (cubic metres per day);</w:t>
      </w:r>
    </w:p>
    <w:p w:rsidR="005542DE" w:rsidRPr="004D63CA" w:rsidRDefault="005542DE" w:rsidP="00E6197A">
      <w:pPr>
        <w:pStyle w:val="ListParagraph"/>
        <w:numPr>
          <w:ilvl w:val="0"/>
          <w:numId w:val="1"/>
        </w:numPr>
      </w:pPr>
      <w:r w:rsidRPr="004D63CA">
        <w:t>All marine-caged fish farms (no capacity limit);</w:t>
      </w:r>
    </w:p>
    <w:p w:rsidR="005542DE" w:rsidRPr="004D63CA" w:rsidRDefault="005542DE" w:rsidP="00E6197A">
      <w:pPr>
        <w:pStyle w:val="ListParagraph"/>
        <w:numPr>
          <w:ilvl w:val="0"/>
          <w:numId w:val="1"/>
        </w:numPr>
      </w:pPr>
      <w:r w:rsidRPr="004D63CA">
        <w:t>All opencast mining and quarrying sites where the surface area of the area effectively under extractive operation equals 25 hectares and above and includes all underground mining;</w:t>
      </w:r>
    </w:p>
    <w:p w:rsidR="00E6197A" w:rsidRPr="004D63CA" w:rsidRDefault="005542DE" w:rsidP="00E6197A">
      <w:pPr>
        <w:pStyle w:val="ListParagraph"/>
        <w:numPr>
          <w:ilvl w:val="0"/>
          <w:numId w:val="1"/>
        </w:numPr>
      </w:pPr>
      <w:r w:rsidRPr="004D63CA">
        <w:t>All sites having a waste management licence (WML) with a capacity to accept at least 50 tonnes/day for the disposal of non-hazardous waste and sites with a capacity of receiving 10 tonnes/day for the recovery and disposal of hazardous waste</w:t>
      </w:r>
      <w:r w:rsidR="00E6197A" w:rsidRPr="004D63CA">
        <w:t xml:space="preserve"> </w:t>
      </w:r>
    </w:p>
    <w:p w:rsidR="005542DE" w:rsidRPr="004D63CA" w:rsidRDefault="00E6197A" w:rsidP="00E6197A">
      <w:pPr>
        <w:pStyle w:val="ListParagraph"/>
        <w:numPr>
          <w:ilvl w:val="0"/>
          <w:numId w:val="1"/>
        </w:numPr>
      </w:pPr>
      <w:r w:rsidRPr="004D63CA">
        <w:t>All nuclear installations (including plants undergoing decommissioning) and all non-nuclear installations holding authorisation for air, water and waste water releases.</w:t>
      </w:r>
    </w:p>
    <w:p w:rsidR="00C606C7" w:rsidRDefault="00C606C7" w:rsidP="00E6197A">
      <w:r>
        <w:t>Most s</w:t>
      </w:r>
      <w:r w:rsidR="005542DE" w:rsidRPr="004D63CA">
        <w:t xml:space="preserve">ites which are required to report to SPRI will have been notified by SEPA </w:t>
      </w:r>
      <w:r w:rsidR="00661F7D" w:rsidRPr="004D63CA">
        <w:t>by either a</w:t>
      </w:r>
      <w:r w:rsidR="005542DE" w:rsidRPr="004D63CA">
        <w:t xml:space="preserve"> Pollution Prevention and Control (PPC) Regulation 63(2) Notice or a notification letter. </w:t>
      </w:r>
      <w:r>
        <w:t>S</w:t>
      </w:r>
      <w:r w:rsidRPr="00C606C7">
        <w:t xml:space="preserve">ites </w:t>
      </w:r>
      <w:r>
        <w:t>with only Waste Management Licences (WML)</w:t>
      </w:r>
      <w:r w:rsidRPr="00C606C7">
        <w:t xml:space="preserve"> report </w:t>
      </w:r>
      <w:r>
        <w:t xml:space="preserve">their off-site waste transfers </w:t>
      </w:r>
      <w:r w:rsidRPr="00C606C7">
        <w:t>quarterly to SEPA</w:t>
      </w:r>
      <w:r>
        <w:t>,</w:t>
      </w:r>
      <w:r w:rsidRPr="00C606C7">
        <w:t xml:space="preserve"> </w:t>
      </w:r>
      <w:r w:rsidR="00242A85">
        <w:t xml:space="preserve">and </w:t>
      </w:r>
      <w:r w:rsidRPr="00C606C7">
        <w:t xml:space="preserve">are notified </w:t>
      </w:r>
      <w:r>
        <w:t xml:space="preserve">that </w:t>
      </w:r>
      <w:r w:rsidRPr="00C606C7">
        <w:t>SEPA</w:t>
      </w:r>
      <w:r>
        <w:t xml:space="preserve"> will use this data to fulfil their reporting </w:t>
      </w:r>
      <w:r w:rsidRPr="00C606C7">
        <w:t>obligation</w:t>
      </w:r>
      <w:r>
        <w:t>s.</w:t>
      </w:r>
    </w:p>
    <w:p w:rsidR="005542DE" w:rsidRPr="004D63CA" w:rsidRDefault="00661F7D" w:rsidP="00E6197A">
      <w:r w:rsidRPr="004D63CA">
        <w:t xml:space="preserve">Sites which have not operated and have no emissions must still submit a return while they retain an active authorisation or permit. </w:t>
      </w:r>
      <w:r w:rsidR="005542DE" w:rsidRPr="004D63CA">
        <w:t>Reports must be submitted annually</w:t>
      </w:r>
      <w:r w:rsidRPr="004D63CA">
        <w:t xml:space="preserve"> for the previous calendar year</w:t>
      </w:r>
      <w:r w:rsidR="005542DE" w:rsidRPr="004D63CA">
        <w:t>; for most sites by February 28</w:t>
      </w:r>
      <w:r w:rsidR="005542DE" w:rsidRPr="004D63CA">
        <w:rPr>
          <w:vertAlign w:val="superscript"/>
        </w:rPr>
        <w:t>th</w:t>
      </w:r>
      <w:r w:rsidR="005542DE" w:rsidRPr="004D63CA">
        <w:t xml:space="preserve"> each year.</w:t>
      </w:r>
    </w:p>
    <w:p w:rsidR="002A0C35" w:rsidRPr="00CD3B23" w:rsidRDefault="002A0C35" w:rsidP="00422762">
      <w:pPr>
        <w:ind w:left="360"/>
        <w:rPr>
          <w:i/>
        </w:rPr>
      </w:pPr>
    </w:p>
    <w:p w:rsidR="00F45C21" w:rsidRDefault="00F45C21">
      <w:pPr>
        <w:rPr>
          <w:rFonts w:eastAsiaTheme="majorEastAsia" w:cstheme="majorBidi"/>
          <w:b/>
          <w:sz w:val="24"/>
          <w:szCs w:val="24"/>
        </w:rPr>
      </w:pPr>
      <w:r>
        <w:br w:type="page"/>
      </w:r>
    </w:p>
    <w:p w:rsidR="002A0C35" w:rsidRDefault="009569C3" w:rsidP="007572EA">
      <w:pPr>
        <w:pStyle w:val="Heading3"/>
      </w:pPr>
      <w:bookmarkStart w:id="19" w:name="_Toc51591157"/>
      <w:r>
        <w:lastRenderedPageBreak/>
        <w:t xml:space="preserve">3.3 </w:t>
      </w:r>
      <w:r w:rsidR="00F45C21">
        <w:t>SEPA’s role</w:t>
      </w:r>
      <w:bookmarkEnd w:id="19"/>
      <w:r w:rsidR="00640D49">
        <w:t xml:space="preserve"> </w:t>
      </w:r>
    </w:p>
    <w:p w:rsidR="00F45C21" w:rsidRDefault="00F45C21" w:rsidP="00926977">
      <w:pPr>
        <w:spacing w:after="0"/>
      </w:pPr>
    </w:p>
    <w:p w:rsidR="00F45C21" w:rsidRPr="004D63CA" w:rsidRDefault="00F45C21" w:rsidP="00807BA3">
      <w:r w:rsidRPr="004D63CA">
        <w:t>We collect and quality assure (QA) the</w:t>
      </w:r>
      <w:r w:rsidR="00F160E6" w:rsidRPr="004D63CA">
        <w:t xml:space="preserve"> SPRI</w:t>
      </w:r>
      <w:r w:rsidR="00A80A63">
        <w:t xml:space="preserve"> data, and then make it public</w:t>
      </w:r>
      <w:r w:rsidRPr="004D63CA">
        <w:t>ly available.</w:t>
      </w:r>
    </w:p>
    <w:p w:rsidR="004018A2" w:rsidRPr="004D63CA" w:rsidRDefault="00926977" w:rsidP="00807BA3">
      <w:r w:rsidRPr="004D63CA">
        <w:t>SPRI</w:t>
      </w:r>
      <w:r w:rsidR="00F45C21" w:rsidRPr="004D63CA">
        <w:t xml:space="preserve"> data remains the operator’s and it is their legal responsibility to supply accurate information. </w:t>
      </w:r>
      <w:r w:rsidRPr="004D63CA">
        <w:t>Our QA process is there to check that the data is complete, coherent and credible.</w:t>
      </w:r>
      <w:r w:rsidR="004018A2" w:rsidRPr="004D63CA">
        <w:t xml:space="preserve"> In outline:</w:t>
      </w:r>
    </w:p>
    <w:p w:rsidR="00415C5A" w:rsidRPr="004D63CA" w:rsidRDefault="004018A2" w:rsidP="00F160E6">
      <w:pPr>
        <w:pStyle w:val="ListParagraph"/>
        <w:numPr>
          <w:ilvl w:val="0"/>
          <w:numId w:val="9"/>
        </w:numPr>
      </w:pPr>
      <w:r w:rsidRPr="004D63CA">
        <w:t xml:space="preserve">We carry out </w:t>
      </w:r>
      <w:r w:rsidR="00E74787">
        <w:t>data</w:t>
      </w:r>
      <w:r w:rsidRPr="004D63CA">
        <w:t xml:space="preserve"> checks using historic data from the site and similar sites. </w:t>
      </w:r>
    </w:p>
    <w:p w:rsidR="00F45C21" w:rsidRPr="004D63CA" w:rsidRDefault="004018A2" w:rsidP="00F160E6">
      <w:pPr>
        <w:pStyle w:val="ListParagraph"/>
        <w:numPr>
          <w:ilvl w:val="0"/>
          <w:numId w:val="9"/>
        </w:numPr>
      </w:pPr>
      <w:r w:rsidRPr="004D63CA">
        <w:t xml:space="preserve">Where data is </w:t>
      </w:r>
      <w:r w:rsidR="005B2620">
        <w:t>flagged in our checking process</w:t>
      </w:r>
      <w:r w:rsidRPr="004D63CA">
        <w:t xml:space="preserve">, </w:t>
      </w:r>
      <w:r w:rsidR="00415C5A" w:rsidRPr="004D63CA">
        <w:t>we may ask the operator to confirm their figures and provide more detail on the reasons for any variations. W</w:t>
      </w:r>
      <w:r w:rsidRPr="004D63CA">
        <w:t xml:space="preserve">e </w:t>
      </w:r>
      <w:r w:rsidR="00415C5A" w:rsidRPr="004D63CA">
        <w:t xml:space="preserve">also </w:t>
      </w:r>
      <w:r w:rsidRPr="004D63CA">
        <w:t xml:space="preserve">ask Site Officers to cross reference against other available data and to use their knowledge of the site to assess whether information is credible. </w:t>
      </w:r>
    </w:p>
    <w:p w:rsidR="004018A2" w:rsidRPr="004D63CA" w:rsidRDefault="004018A2" w:rsidP="00F160E6">
      <w:pPr>
        <w:pStyle w:val="ListParagraph"/>
        <w:numPr>
          <w:ilvl w:val="0"/>
          <w:numId w:val="9"/>
        </w:numPr>
      </w:pPr>
      <w:r w:rsidRPr="004D63CA">
        <w:t>We carry out a set of cross checks against other SEPA data sources – for example the Emissions Trading S</w:t>
      </w:r>
      <w:r w:rsidR="00B56161">
        <w:t>ystem</w:t>
      </w:r>
      <w:r w:rsidRPr="004D63CA">
        <w:t xml:space="preserve"> data on carbon dioxide emissions.</w:t>
      </w:r>
      <w:r w:rsidR="00415C5A" w:rsidRPr="004D63CA">
        <w:t xml:space="preserve"> We check that accidental releases have been notified to SEPA where appropriate.</w:t>
      </w:r>
    </w:p>
    <w:p w:rsidR="004018A2" w:rsidRPr="004D63CA" w:rsidRDefault="00415C5A" w:rsidP="00F160E6">
      <w:pPr>
        <w:pStyle w:val="ListParagraph"/>
        <w:numPr>
          <w:ilvl w:val="0"/>
          <w:numId w:val="9"/>
        </w:numPr>
      </w:pPr>
      <w:r w:rsidRPr="004D63CA">
        <w:t>The overall data for each industry sector is reviewed by colleagues who have substantial knowledge of the sites and the processes they use, to help us understand each individual return’s place in the sector.</w:t>
      </w:r>
    </w:p>
    <w:p w:rsidR="00415C5A" w:rsidRPr="004D63CA" w:rsidRDefault="00415C5A" w:rsidP="00F160E6">
      <w:pPr>
        <w:pStyle w:val="ListParagraph"/>
        <w:numPr>
          <w:ilvl w:val="0"/>
          <w:numId w:val="9"/>
        </w:numPr>
      </w:pPr>
      <w:r w:rsidRPr="004D63CA">
        <w:t xml:space="preserve">Once data has been through QA, we will submit the required sub-set to Defra, who will use it in the </w:t>
      </w:r>
      <w:r w:rsidR="00B56161">
        <w:t>UK’s E-PRTR submission to the EC. The EC and EEA then carry</w:t>
      </w:r>
      <w:r w:rsidRPr="004D63CA">
        <w:t xml:space="preserve"> out further checks and will inform us of </w:t>
      </w:r>
      <w:r w:rsidR="00F160E6" w:rsidRPr="004D63CA">
        <w:t>any issues they identify.</w:t>
      </w:r>
      <w:r w:rsidRPr="004D63CA">
        <w:t xml:space="preserve"> </w:t>
      </w:r>
    </w:p>
    <w:p w:rsidR="00A370CD" w:rsidRPr="004D63CA" w:rsidRDefault="00F160E6" w:rsidP="00F160E6">
      <w:r w:rsidRPr="004D63CA">
        <w:t>Note that we do not use SPRI data to assess regulatory compliance.</w:t>
      </w:r>
    </w:p>
    <w:p w:rsidR="00F21EEE" w:rsidRDefault="00F21EEE">
      <w:pPr>
        <w:rPr>
          <w:rFonts w:eastAsiaTheme="majorEastAsia" w:cstheme="majorBidi"/>
          <w:b/>
          <w:sz w:val="24"/>
          <w:szCs w:val="24"/>
        </w:rPr>
      </w:pPr>
    </w:p>
    <w:p w:rsidR="009422D4" w:rsidRDefault="009569C3" w:rsidP="007572EA">
      <w:pPr>
        <w:pStyle w:val="Heading3"/>
      </w:pPr>
      <w:bookmarkStart w:id="20" w:name="_Toc51591158"/>
      <w:r>
        <w:t xml:space="preserve">3.4 </w:t>
      </w:r>
      <w:r w:rsidR="00F160E6">
        <w:t>Information to consider when using SPRI data</w:t>
      </w:r>
      <w:r w:rsidR="0040188F">
        <w:t xml:space="preserve"> and technical notes</w:t>
      </w:r>
      <w:bookmarkEnd w:id="20"/>
      <w:r w:rsidR="00F160E6">
        <w:t xml:space="preserve"> </w:t>
      </w:r>
    </w:p>
    <w:p w:rsidR="00A370CD" w:rsidRDefault="00A370CD" w:rsidP="005B2620">
      <w:pPr>
        <w:spacing w:after="0"/>
      </w:pPr>
    </w:p>
    <w:p w:rsidR="00F21EEE" w:rsidRPr="005A3A60" w:rsidRDefault="00F21EEE" w:rsidP="0040188F">
      <w:pPr>
        <w:pStyle w:val="Heading4"/>
      </w:pPr>
      <w:r w:rsidRPr="005A3A60">
        <w:t xml:space="preserve">Regulatory </w:t>
      </w:r>
      <w:r>
        <w:t>a</w:t>
      </w:r>
      <w:r w:rsidRPr="005A3A60">
        <w:t xml:space="preserve">nd environmental impact </w:t>
      </w:r>
    </w:p>
    <w:p w:rsidR="0040188F" w:rsidRDefault="0040188F" w:rsidP="0040188F">
      <w:pPr>
        <w:spacing w:after="0"/>
        <w:rPr>
          <w:color w:val="0000FF"/>
        </w:rPr>
      </w:pPr>
    </w:p>
    <w:p w:rsidR="00F21EEE" w:rsidRPr="004D63CA" w:rsidRDefault="00F21EEE" w:rsidP="00F21EEE">
      <w:r w:rsidRPr="004D63CA">
        <w:t>SPRI data can be used to broadly compare facilities or sectors and it provides a general overview of the total amounts of pollutants released or waste transferred. However, direct, detailed comparisons between sites are only possible where significant further information is available about all of the processes carried out on site; even where this is possible, few sites have direct equivalents.</w:t>
      </w:r>
    </w:p>
    <w:p w:rsidR="00F21EEE" w:rsidRPr="004D63CA" w:rsidRDefault="00F21EEE" w:rsidP="00F21EEE">
      <w:r w:rsidRPr="004D63CA">
        <w:t xml:space="preserve">SPRI data cannot provide assessments of the regulatory compliance of the facilities or the health or environmental impact of their releases. Compliance information can be found on SEPA’s website at: </w:t>
      </w:r>
      <w:hyperlink r:id="rId39" w:history="1">
        <w:r w:rsidRPr="004D63CA">
          <w:rPr>
            <w:rStyle w:val="Hyperlink"/>
            <w:color w:val="5B9BD5" w:themeColor="accent1"/>
          </w:rPr>
          <w:t>https://www.sepa.org.uk/regulations/authorisations-and-permits/compliance-assessment-scheme/</w:t>
        </w:r>
      </w:hyperlink>
      <w:r w:rsidRPr="004D63CA">
        <w:rPr>
          <w:color w:val="5B9BD5" w:themeColor="accent1"/>
        </w:rPr>
        <w:t xml:space="preserve"> </w:t>
      </w:r>
    </w:p>
    <w:p w:rsidR="00F21EEE" w:rsidRPr="004D63CA" w:rsidRDefault="00F21EEE" w:rsidP="00F21EEE">
      <w:r w:rsidRPr="004D63CA">
        <w:rPr>
          <w:lang w:val="en"/>
        </w:rPr>
        <w:t>Annual mass emissions alone are not necessarily directly related to concentrations being emitted at any particular time and cannot be used to directly predict the resulting concentrations in the environment. High annual mass emissions are often due to the large size of the industrial process, where relatively low concentrations are released in very large flows of air or water.</w:t>
      </w:r>
      <w:r w:rsidR="005B2620" w:rsidRPr="005B2620">
        <w:t xml:space="preserve"> </w:t>
      </w:r>
      <w:r w:rsidR="005B2620">
        <w:t>T</w:t>
      </w:r>
      <w:r w:rsidR="005B2620" w:rsidRPr="005B2620">
        <w:rPr>
          <w:lang w:val="en"/>
        </w:rPr>
        <w:t>he efficiency of the</w:t>
      </w:r>
      <w:r w:rsidR="005B2620">
        <w:rPr>
          <w:lang w:val="en"/>
        </w:rPr>
        <w:t xml:space="preserve"> site’s</w:t>
      </w:r>
      <w:r w:rsidR="005B2620" w:rsidRPr="005B2620">
        <w:rPr>
          <w:lang w:val="en"/>
        </w:rPr>
        <w:t xml:space="preserve"> industrial abatement and treatment processes </w:t>
      </w:r>
      <w:r w:rsidR="005B2620">
        <w:rPr>
          <w:lang w:val="en"/>
        </w:rPr>
        <w:t>will have a significant impact on emissions. These</w:t>
      </w:r>
      <w:r w:rsidR="005B2620" w:rsidRPr="005B2620">
        <w:rPr>
          <w:lang w:val="en"/>
        </w:rPr>
        <w:t xml:space="preserve"> are guided by relevant EU legislation and Scottish Regulations</w:t>
      </w:r>
      <w:r w:rsidR="005B2620">
        <w:rPr>
          <w:lang w:val="en"/>
        </w:rPr>
        <w:t>.</w:t>
      </w:r>
    </w:p>
    <w:p w:rsidR="00F21EEE" w:rsidRPr="004D63CA" w:rsidRDefault="00F21EEE" w:rsidP="00F21EEE">
      <w:pPr>
        <w:rPr>
          <w:lang w:val="en"/>
        </w:rPr>
      </w:pPr>
      <w:r w:rsidRPr="004D63CA">
        <w:t>Annual mass releases are not directly comparable with air or water quality standards.</w:t>
      </w:r>
      <w:r w:rsidRPr="004D63CA">
        <w:rPr>
          <w:lang w:val="en"/>
        </w:rPr>
        <w:t xml:space="preserve"> Reporting </w:t>
      </w:r>
      <w:r w:rsidR="00B56161">
        <w:rPr>
          <w:lang w:val="en"/>
        </w:rPr>
        <w:t>thresholds for each pollutant a</w:t>
      </w:r>
      <w:r w:rsidRPr="004D63CA">
        <w:rPr>
          <w:lang w:val="en"/>
        </w:rPr>
        <w:t>re set based on characteristics of the pollutant (its toxicity, transport and persistence in the environment) to indicate what mass emission may give rise to 'significant' environmental concentrations.</w:t>
      </w:r>
    </w:p>
    <w:p w:rsidR="005A3A60" w:rsidRPr="004D63CA" w:rsidRDefault="005A3A60" w:rsidP="008F5EF9">
      <w:pPr>
        <w:pStyle w:val="NoSpacing"/>
      </w:pPr>
    </w:p>
    <w:p w:rsidR="004A4383" w:rsidRPr="004D63CA" w:rsidRDefault="004A4383" w:rsidP="0040188F">
      <w:pPr>
        <w:pStyle w:val="Heading4"/>
      </w:pPr>
      <w:r w:rsidRPr="004D63CA">
        <w:t xml:space="preserve">Technical </w:t>
      </w:r>
      <w:r w:rsidR="00F21EEE" w:rsidRPr="004D63CA">
        <w:t>notes on data</w:t>
      </w:r>
      <w:r w:rsidR="0040188F" w:rsidRPr="004D63CA">
        <w:t>:</w:t>
      </w:r>
    </w:p>
    <w:p w:rsidR="0040188F" w:rsidRPr="004D63CA" w:rsidRDefault="0040188F" w:rsidP="0040188F">
      <w:pPr>
        <w:spacing w:after="0"/>
        <w:rPr>
          <w:b/>
        </w:rPr>
      </w:pPr>
    </w:p>
    <w:p w:rsidR="00F21EEE" w:rsidRPr="005B2620" w:rsidRDefault="00F21EEE" w:rsidP="00F21EEE">
      <w:pPr>
        <w:rPr>
          <w:b/>
          <w:i/>
        </w:rPr>
      </w:pPr>
      <w:r w:rsidRPr="005B2620">
        <w:rPr>
          <w:b/>
          <w:i/>
        </w:rPr>
        <w:t>Annual variability</w:t>
      </w:r>
    </w:p>
    <w:p w:rsidR="00F21EEE" w:rsidRPr="004D63CA" w:rsidRDefault="00F21EEE" w:rsidP="00F21EEE">
      <w:r w:rsidRPr="004D63CA">
        <w:t xml:space="preserve">Caution should be used when comparing one year’s data to the previous year’s, particularly on a site by site basis. Substantial year to year variability is expected within some sections of the SPRI data, and we allow for this in our QA process. </w:t>
      </w:r>
    </w:p>
    <w:p w:rsidR="00F21EEE" w:rsidRPr="004D63CA" w:rsidRDefault="00F21EEE" w:rsidP="00F21EEE">
      <w:r w:rsidRPr="004D63CA">
        <w:lastRenderedPageBreak/>
        <w:t>For example, within the industry sector 7 – Intensive livestock production and agriculture we would expect emissions from poultry farms to be some of the most consistent in SPRI, because operators will tend to stock to similar levels across the whole year, every year. Marine fish farms, on the other hand, have clearly defined production cycles which include fallow periods, so emissions are expected to vary accordingly.</w:t>
      </w:r>
    </w:p>
    <w:p w:rsidR="00F21EEE" w:rsidRPr="004D63CA" w:rsidRDefault="00F21EEE" w:rsidP="00F21EEE">
      <w:r w:rsidRPr="004D63CA">
        <w:t xml:space="preserve">Many sites will base their emission values on spot testing which has happened at different points throughout the year and again, in some industry sectors we can expect these to be quite variable. </w:t>
      </w:r>
    </w:p>
    <w:p w:rsidR="009A1F74" w:rsidRPr="008F5EF9" w:rsidRDefault="009A1F74" w:rsidP="00F21EEE">
      <w:pPr>
        <w:rPr>
          <w:b/>
          <w:i/>
        </w:rPr>
      </w:pPr>
      <w:r w:rsidRPr="008F5EF9">
        <w:rPr>
          <w:b/>
          <w:i/>
        </w:rPr>
        <w:t>Methods</w:t>
      </w:r>
    </w:p>
    <w:p w:rsidR="009A1F74" w:rsidRPr="004D63CA" w:rsidRDefault="009A1F74" w:rsidP="005A3A60">
      <w:r w:rsidRPr="004D63CA">
        <w:t xml:space="preserve">There are three broad ways operators can produce their SPRI figures: measuring, calculating or estimating. Guidance on the SPRI webpage explains where and when each should be used in detail, but we expect the operator to use the best available </w:t>
      </w:r>
      <w:r w:rsidR="00053C71">
        <w:t xml:space="preserve">data and </w:t>
      </w:r>
      <w:r w:rsidRPr="004D63CA">
        <w:t xml:space="preserve">method to produce their figure. </w:t>
      </w:r>
      <w:r w:rsidR="00053C71" w:rsidRPr="004D63CA">
        <w:t xml:space="preserve">In many cases this will be to use </w:t>
      </w:r>
      <w:r w:rsidR="00053C71">
        <w:t xml:space="preserve">the methodologies described </w:t>
      </w:r>
      <w:r w:rsidR="00053C71" w:rsidRPr="004D63CA">
        <w:t xml:space="preserve">under </w:t>
      </w:r>
      <w:r w:rsidR="00053C71">
        <w:t>their SEPA</w:t>
      </w:r>
      <w:r w:rsidR="00053C71" w:rsidRPr="004D63CA">
        <w:t xml:space="preserve"> </w:t>
      </w:r>
      <w:r w:rsidR="00053C71">
        <w:t>authorisations</w:t>
      </w:r>
      <w:r w:rsidR="00053C71" w:rsidRPr="004D63CA">
        <w:t xml:space="preserve">. </w:t>
      </w:r>
      <w:r w:rsidRPr="004D63CA">
        <w:t>In some cases it may be modelled (e.g. many of the pollutants from landfills and waste water treatment works), or we ask the operator to use an emission factor (e.g. poultry farmers’ ammonia emissions). The best available methods therefore have a wide range of both precision</w:t>
      </w:r>
      <w:r w:rsidR="00872259">
        <w:t>s and accuracies</w:t>
      </w:r>
      <w:r w:rsidRPr="004D63CA">
        <w:t>, and this should be kept in mi</w:t>
      </w:r>
      <w:r w:rsidR="00F21EEE" w:rsidRPr="004D63CA">
        <w:t>nd when data is used.</w:t>
      </w:r>
    </w:p>
    <w:p w:rsidR="00F21EEE" w:rsidRPr="008F5EF9" w:rsidRDefault="00F21EEE" w:rsidP="005A3A60">
      <w:pPr>
        <w:rPr>
          <w:b/>
          <w:i/>
        </w:rPr>
      </w:pPr>
      <w:r w:rsidRPr="008F5EF9">
        <w:rPr>
          <w:b/>
          <w:i/>
        </w:rPr>
        <w:t>Figures reported</w:t>
      </w:r>
    </w:p>
    <w:p w:rsidR="00F21EEE" w:rsidRPr="004D63CA" w:rsidRDefault="00F21EEE" w:rsidP="005A3A60">
      <w:r w:rsidRPr="004D63CA">
        <w:t>Related to the point about methods; we formally ask operators to supply data to three significant figures but, as noted in Section one, they normally provide much more than this.</w:t>
      </w:r>
      <w:r w:rsidR="007C7BA6" w:rsidRPr="004D63CA">
        <w:t xml:space="preserve"> We do not receive information on confidence intervals; be aware that a figure which provides high precision may have lower accuracy.</w:t>
      </w:r>
    </w:p>
    <w:p w:rsidR="008B095E" w:rsidRPr="004D63CA" w:rsidRDefault="008B095E" w:rsidP="005A3A60">
      <w:r w:rsidRPr="004D63CA">
        <w:t>Note that:</w:t>
      </w:r>
    </w:p>
    <w:p w:rsidR="008B095E" w:rsidRPr="004D63CA" w:rsidRDefault="008B095E" w:rsidP="0040188F">
      <w:pPr>
        <w:pStyle w:val="ListParagraph"/>
        <w:numPr>
          <w:ilvl w:val="0"/>
          <w:numId w:val="10"/>
        </w:numPr>
      </w:pPr>
      <w:r w:rsidRPr="004D63CA">
        <w:t>All non-radioactive pollutants are reported in kilograms (kg)</w:t>
      </w:r>
    </w:p>
    <w:p w:rsidR="008B095E" w:rsidRPr="004D63CA" w:rsidRDefault="008B095E" w:rsidP="0040188F">
      <w:pPr>
        <w:pStyle w:val="ListParagraph"/>
        <w:numPr>
          <w:ilvl w:val="0"/>
          <w:numId w:val="10"/>
        </w:numPr>
      </w:pPr>
      <w:r w:rsidRPr="004D63CA">
        <w:t xml:space="preserve">All radioactive pollutants are reported in </w:t>
      </w:r>
      <w:proofErr w:type="spellStart"/>
      <w:r w:rsidRPr="004D63CA">
        <w:t>megabecquerel</w:t>
      </w:r>
      <w:proofErr w:type="spellEnd"/>
      <w:r w:rsidRPr="004D63CA">
        <w:t xml:space="preserve"> (</w:t>
      </w:r>
      <w:proofErr w:type="spellStart"/>
      <w:r w:rsidRPr="004D63CA">
        <w:t>MBq</w:t>
      </w:r>
      <w:proofErr w:type="spellEnd"/>
      <w:r w:rsidRPr="004D63CA">
        <w:t>)</w:t>
      </w:r>
    </w:p>
    <w:p w:rsidR="008B095E" w:rsidRPr="004D63CA" w:rsidRDefault="008B095E" w:rsidP="0040188F">
      <w:pPr>
        <w:pStyle w:val="ListParagraph"/>
        <w:numPr>
          <w:ilvl w:val="0"/>
          <w:numId w:val="10"/>
        </w:numPr>
      </w:pPr>
      <w:r w:rsidRPr="004D63CA">
        <w:t>Off-site waste transfers are reported in metric tonnes (t)</w:t>
      </w:r>
    </w:p>
    <w:p w:rsidR="008B095E" w:rsidRPr="004D63CA" w:rsidRDefault="008B095E" w:rsidP="005A3A60">
      <w:r w:rsidRPr="004D63CA">
        <w:t>We may display data using different units for ease of use. Commonly, carbon dioxide and overall greenhouse gas emissions are reported i</w:t>
      </w:r>
      <w:r w:rsidR="000557EB">
        <w:t xml:space="preserve">n </w:t>
      </w:r>
      <w:proofErr w:type="spellStart"/>
      <w:r w:rsidR="000557EB">
        <w:t>kilotonnes</w:t>
      </w:r>
      <w:proofErr w:type="spellEnd"/>
      <w:r w:rsidR="000557EB">
        <w:t xml:space="preserve"> (</w:t>
      </w:r>
      <w:proofErr w:type="spellStart"/>
      <w:r w:rsidR="000557EB">
        <w:t>kt</w:t>
      </w:r>
      <w:proofErr w:type="spellEnd"/>
      <w:r w:rsidR="000557EB">
        <w:t xml:space="preserve"> – 1,000,000kg).</w:t>
      </w:r>
    </w:p>
    <w:p w:rsidR="009A1F74" w:rsidRPr="008F5EF9" w:rsidRDefault="007C7BA6" w:rsidP="005A3A60">
      <w:pPr>
        <w:rPr>
          <w:b/>
          <w:i/>
        </w:rPr>
      </w:pPr>
      <w:r w:rsidRPr="008F5EF9">
        <w:rPr>
          <w:b/>
          <w:i/>
        </w:rPr>
        <w:t>Accidental releases</w:t>
      </w:r>
    </w:p>
    <w:p w:rsidR="007C7BA6" w:rsidRPr="004D63CA" w:rsidRDefault="007C7BA6" w:rsidP="005A3A60">
      <w:r w:rsidRPr="004D63CA">
        <w:t>Figures for accidental releases are included within the main total. It is possible to have a quantified accidental release but for the total emission to be BRT. SPRI has very clear and specific definitions of accidental releases; please see the SPRI webpage for more detail.</w:t>
      </w:r>
    </w:p>
    <w:p w:rsidR="0040188F" w:rsidRPr="004D63CA" w:rsidRDefault="0040188F" w:rsidP="00053C71">
      <w:pPr>
        <w:pStyle w:val="NoSpacing"/>
      </w:pPr>
    </w:p>
    <w:p w:rsidR="0040188F" w:rsidRPr="004D63CA" w:rsidRDefault="0040188F" w:rsidP="0040188F">
      <w:pPr>
        <w:pStyle w:val="Heading4"/>
      </w:pPr>
      <w:r w:rsidRPr="004D63CA">
        <w:t>European Pollutant Release and Transfer Register – E-PRTR</w:t>
      </w:r>
    </w:p>
    <w:p w:rsidR="0040188F" w:rsidRPr="004D63CA" w:rsidRDefault="0040188F" w:rsidP="0040188F">
      <w:pPr>
        <w:spacing w:after="0"/>
        <w:rPr>
          <w:lang w:val="en"/>
        </w:rPr>
      </w:pPr>
    </w:p>
    <w:p w:rsidR="0040188F" w:rsidRPr="004D63CA" w:rsidRDefault="00872259" w:rsidP="0040188F">
      <w:pPr>
        <w:rPr>
          <w:lang w:val="en"/>
        </w:rPr>
      </w:pPr>
      <w:r>
        <w:rPr>
          <w:lang w:val="en"/>
        </w:rPr>
        <w:t>SPRI waste transfer data and around 20% of</w:t>
      </w:r>
      <w:r w:rsidR="0040188F" w:rsidRPr="004D63CA">
        <w:rPr>
          <w:lang w:val="en"/>
        </w:rPr>
        <w:t xml:space="preserve"> </w:t>
      </w:r>
      <w:r w:rsidR="00445E7C">
        <w:rPr>
          <w:lang w:val="en"/>
        </w:rPr>
        <w:t xml:space="preserve">emissions </w:t>
      </w:r>
      <w:r w:rsidR="0040188F" w:rsidRPr="004D63CA">
        <w:rPr>
          <w:lang w:val="en"/>
        </w:rPr>
        <w:t>data</w:t>
      </w:r>
      <w:r>
        <w:rPr>
          <w:lang w:val="en"/>
        </w:rPr>
        <w:t>, covering roughly half of the SPRI sites,</w:t>
      </w:r>
      <w:r w:rsidR="0040188F" w:rsidRPr="004D63CA">
        <w:rPr>
          <w:lang w:val="en"/>
        </w:rPr>
        <w:t xml:space="preserve"> is supplied (via the UK PRTR) to the European PRTR, and will be published in the EU’s</w:t>
      </w:r>
      <w:r w:rsidR="0040188F" w:rsidRPr="004D63CA">
        <w:rPr>
          <w:color w:val="5B9BD5" w:themeColor="accent1"/>
          <w:lang w:val="en"/>
        </w:rPr>
        <w:t xml:space="preserve"> </w:t>
      </w:r>
      <w:hyperlink r:id="rId40" w:anchor="/home" w:history="1">
        <w:r w:rsidR="0040188F" w:rsidRPr="004D63CA">
          <w:rPr>
            <w:rStyle w:val="Hyperlink"/>
            <w:color w:val="5B9BD5" w:themeColor="accent1"/>
            <w:lang w:val="en"/>
          </w:rPr>
          <w:t>data explorer tool</w:t>
        </w:r>
      </w:hyperlink>
      <w:r w:rsidR="0040188F" w:rsidRPr="004D63CA">
        <w:rPr>
          <w:lang w:val="en"/>
        </w:rPr>
        <w:t xml:space="preserve">. The datasets have different reporting requirements: the E-PRTR focuses on emissions significant on the European scale, whereas both </w:t>
      </w:r>
      <w:proofErr w:type="gramStart"/>
      <w:r w:rsidR="0040188F" w:rsidRPr="004D63CA">
        <w:rPr>
          <w:lang w:val="en"/>
        </w:rPr>
        <w:t>SPRI  and</w:t>
      </w:r>
      <w:proofErr w:type="gramEnd"/>
      <w:r w:rsidR="0040188F" w:rsidRPr="004D63CA">
        <w:rPr>
          <w:lang w:val="en"/>
        </w:rPr>
        <w:t xml:space="preserve"> the UK PRTR have been tailored to gather information which is useful from the national perspective. </w:t>
      </w:r>
    </w:p>
    <w:p w:rsidR="0040188F" w:rsidRPr="004D63CA" w:rsidRDefault="00872259" w:rsidP="0040188F">
      <w:pPr>
        <w:rPr>
          <w:lang w:val="en"/>
        </w:rPr>
      </w:pPr>
      <w:r>
        <w:rPr>
          <w:lang w:val="en"/>
        </w:rPr>
        <w:t>Various</w:t>
      </w:r>
      <w:r w:rsidR="007F4838">
        <w:rPr>
          <w:lang w:val="en"/>
        </w:rPr>
        <w:t xml:space="preserve"> UK- and Scotland-</w:t>
      </w:r>
      <w:r w:rsidR="0040188F" w:rsidRPr="004D63CA">
        <w:rPr>
          <w:lang w:val="en"/>
        </w:rPr>
        <w:t>relevant pollutants and industrial sectors</w:t>
      </w:r>
      <w:r>
        <w:rPr>
          <w:lang w:val="en"/>
        </w:rPr>
        <w:t xml:space="preserve"> are</w:t>
      </w:r>
      <w:r w:rsidR="0040188F" w:rsidRPr="004D63CA">
        <w:rPr>
          <w:lang w:val="en"/>
        </w:rPr>
        <w:t xml:space="preserve"> included in the SPRI </w:t>
      </w:r>
      <w:r>
        <w:rPr>
          <w:lang w:val="en"/>
        </w:rPr>
        <w:t>but</w:t>
      </w:r>
      <w:r w:rsidR="0040188F" w:rsidRPr="004D63CA">
        <w:rPr>
          <w:lang w:val="en"/>
        </w:rPr>
        <w:t xml:space="preserve"> not required by the E-PRTR Regulation; for example the radioactive substances. Urban Waste Water Treatment Plants and marine fish farms have a lower sector threshold, so more of our sites fall under reporting requirements. In addition, thresholds for pollutant reporting are generally set to less than the European thresholds so that they are relevant and consistent across the UK.</w:t>
      </w:r>
    </w:p>
    <w:p w:rsidR="00807BA3" w:rsidRPr="004D63CA" w:rsidRDefault="0040188F">
      <w:pPr>
        <w:rPr>
          <w:lang w:val="en"/>
        </w:rPr>
      </w:pPr>
      <w:r w:rsidRPr="004D63CA">
        <w:rPr>
          <w:lang w:val="en"/>
        </w:rPr>
        <w:t xml:space="preserve">Full details of the SPRI and E-PRTR reporting requirements are available on the </w:t>
      </w:r>
      <w:hyperlink r:id="rId41" w:tgtFrame="_blank" w:history="1">
        <w:r w:rsidRPr="004D63CA">
          <w:rPr>
            <w:rStyle w:val="Hyperlink"/>
            <w:color w:val="5B9BD5" w:themeColor="accent1"/>
            <w:lang w:val="en"/>
          </w:rPr>
          <w:t>SPRI website</w:t>
        </w:r>
      </w:hyperlink>
      <w:r w:rsidRPr="004D63CA">
        <w:rPr>
          <w:color w:val="5B9BD5" w:themeColor="accent1"/>
          <w:lang w:val="en"/>
        </w:rPr>
        <w:t xml:space="preserve"> </w:t>
      </w:r>
      <w:r w:rsidRPr="004D63CA">
        <w:rPr>
          <w:lang w:val="en"/>
        </w:rPr>
        <w:t xml:space="preserve">and the European Commission's </w:t>
      </w:r>
      <w:hyperlink r:id="rId42" w:tgtFrame="_blank" w:history="1">
        <w:r w:rsidRPr="004D63CA">
          <w:rPr>
            <w:rStyle w:val="Hyperlink"/>
            <w:color w:val="5B9BD5" w:themeColor="accent1"/>
            <w:lang w:val="en"/>
          </w:rPr>
          <w:t>European Pollutant Release and Transfer Register (E-PRTR) Regulation</w:t>
        </w:r>
      </w:hyperlink>
      <w:r w:rsidRPr="004D63CA">
        <w:rPr>
          <w:color w:val="5B9BD5" w:themeColor="accent1"/>
          <w:lang w:val="en"/>
        </w:rPr>
        <w:t xml:space="preserve"> </w:t>
      </w:r>
      <w:r w:rsidRPr="004D63CA">
        <w:rPr>
          <w:lang w:val="en"/>
        </w:rPr>
        <w:t xml:space="preserve">website. </w:t>
      </w:r>
    </w:p>
    <w:sectPr w:rsidR="00807BA3" w:rsidRPr="004D63CA" w:rsidSect="00256060">
      <w:pgSz w:w="11906" w:h="16838"/>
      <w:pgMar w:top="720" w:right="720" w:bottom="720"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887" w:rsidRDefault="007C0887" w:rsidP="006C04D6">
      <w:pPr>
        <w:spacing w:after="0" w:line="240" w:lineRule="auto"/>
      </w:pPr>
      <w:r>
        <w:separator/>
      </w:r>
    </w:p>
  </w:endnote>
  <w:endnote w:type="continuationSeparator" w:id="0">
    <w:p w:rsidR="007C0887" w:rsidRDefault="007C0887" w:rsidP="006C0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174145"/>
      <w:docPartObj>
        <w:docPartGallery w:val="Page Numbers (Bottom of Page)"/>
        <w:docPartUnique/>
      </w:docPartObj>
    </w:sdtPr>
    <w:sdtEndPr>
      <w:rPr>
        <w:noProof/>
      </w:rPr>
    </w:sdtEndPr>
    <w:sdtContent>
      <w:p w:rsidR="007C0887" w:rsidRDefault="007C0887">
        <w:pPr>
          <w:pStyle w:val="Footer"/>
          <w:jc w:val="right"/>
        </w:pPr>
        <w:r>
          <w:fldChar w:fldCharType="begin"/>
        </w:r>
        <w:r>
          <w:instrText xml:space="preserve"> PAGE   \* MERGEFORMAT </w:instrText>
        </w:r>
        <w:r>
          <w:fldChar w:fldCharType="separate"/>
        </w:r>
        <w:r w:rsidR="00F34978">
          <w:rPr>
            <w:noProof/>
          </w:rPr>
          <w:t>26</w:t>
        </w:r>
        <w:r>
          <w:rPr>
            <w:noProof/>
          </w:rPr>
          <w:fldChar w:fldCharType="end"/>
        </w:r>
      </w:p>
    </w:sdtContent>
  </w:sdt>
  <w:p w:rsidR="007C0887" w:rsidRDefault="007C0887">
    <w:pPr>
      <w:pStyle w:val="Footer"/>
    </w:pPr>
    <w:r w:rsidRPr="00E36E58">
      <w:t xml:space="preserve">2019 Pollutant </w:t>
    </w:r>
    <w:r>
      <w:t>emissions</w:t>
    </w:r>
    <w:r w:rsidRPr="00E36E58">
      <w:t xml:space="preserve"> and waste transfers from SEPA regulated industrial sites</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887" w:rsidRDefault="007C0887" w:rsidP="006C04D6">
      <w:pPr>
        <w:spacing w:after="0" w:line="240" w:lineRule="auto"/>
      </w:pPr>
      <w:r>
        <w:separator/>
      </w:r>
    </w:p>
  </w:footnote>
  <w:footnote w:type="continuationSeparator" w:id="0">
    <w:p w:rsidR="007C0887" w:rsidRDefault="007C0887" w:rsidP="006C0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472B"/>
    <w:multiLevelType w:val="hybridMultilevel"/>
    <w:tmpl w:val="E2E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E3715"/>
    <w:multiLevelType w:val="hybridMultilevel"/>
    <w:tmpl w:val="C2E20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14457"/>
    <w:multiLevelType w:val="hybridMultilevel"/>
    <w:tmpl w:val="22D6B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A5E172C"/>
    <w:multiLevelType w:val="hybridMultilevel"/>
    <w:tmpl w:val="2D78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57423B"/>
    <w:multiLevelType w:val="hybridMultilevel"/>
    <w:tmpl w:val="4508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E613EC"/>
    <w:multiLevelType w:val="hybridMultilevel"/>
    <w:tmpl w:val="4508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CD76BC"/>
    <w:multiLevelType w:val="hybridMultilevel"/>
    <w:tmpl w:val="99CA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5C5F57"/>
    <w:multiLevelType w:val="hybridMultilevel"/>
    <w:tmpl w:val="94BC5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F53011"/>
    <w:multiLevelType w:val="hybridMultilevel"/>
    <w:tmpl w:val="789A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362571"/>
    <w:multiLevelType w:val="hybridMultilevel"/>
    <w:tmpl w:val="1740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2411DF"/>
    <w:multiLevelType w:val="hybridMultilevel"/>
    <w:tmpl w:val="847AB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4329C"/>
    <w:multiLevelType w:val="hybridMultilevel"/>
    <w:tmpl w:val="93B4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3"/>
  </w:num>
  <w:num w:numId="5">
    <w:abstractNumId w:val="2"/>
  </w:num>
  <w:num w:numId="6">
    <w:abstractNumId w:val="4"/>
  </w:num>
  <w:num w:numId="7">
    <w:abstractNumId w:val="5"/>
  </w:num>
  <w:num w:numId="8">
    <w:abstractNumId w:val="9"/>
  </w:num>
  <w:num w:numId="9">
    <w:abstractNumId w:val="1"/>
  </w:num>
  <w:num w:numId="10">
    <w:abstractNumId w:val="8"/>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933"/>
    <w:rsid w:val="0000286E"/>
    <w:rsid w:val="00013766"/>
    <w:rsid w:val="00022A03"/>
    <w:rsid w:val="00024DC7"/>
    <w:rsid w:val="0002523B"/>
    <w:rsid w:val="00027BB7"/>
    <w:rsid w:val="000308C0"/>
    <w:rsid w:val="00030C0A"/>
    <w:rsid w:val="0003466F"/>
    <w:rsid w:val="00036108"/>
    <w:rsid w:val="0004421B"/>
    <w:rsid w:val="00053C71"/>
    <w:rsid w:val="000557EB"/>
    <w:rsid w:val="00055B18"/>
    <w:rsid w:val="000651EE"/>
    <w:rsid w:val="00072650"/>
    <w:rsid w:val="00081752"/>
    <w:rsid w:val="00083F13"/>
    <w:rsid w:val="00094B7E"/>
    <w:rsid w:val="000B3A8C"/>
    <w:rsid w:val="000B71D8"/>
    <w:rsid w:val="000C2D89"/>
    <w:rsid w:val="000C3CC5"/>
    <w:rsid w:val="000D10F0"/>
    <w:rsid w:val="000E39D2"/>
    <w:rsid w:val="000F5338"/>
    <w:rsid w:val="00110960"/>
    <w:rsid w:val="0011422B"/>
    <w:rsid w:val="00114652"/>
    <w:rsid w:val="00116826"/>
    <w:rsid w:val="0012046A"/>
    <w:rsid w:val="00121BB3"/>
    <w:rsid w:val="00122530"/>
    <w:rsid w:val="001329EF"/>
    <w:rsid w:val="00134326"/>
    <w:rsid w:val="00135E70"/>
    <w:rsid w:val="0013679E"/>
    <w:rsid w:val="001467AF"/>
    <w:rsid w:val="0015194C"/>
    <w:rsid w:val="00166A8E"/>
    <w:rsid w:val="00171317"/>
    <w:rsid w:val="00176DA4"/>
    <w:rsid w:val="00182D5E"/>
    <w:rsid w:val="00192C79"/>
    <w:rsid w:val="001A44E3"/>
    <w:rsid w:val="001B3D23"/>
    <w:rsid w:val="001C3DF3"/>
    <w:rsid w:val="001C6D31"/>
    <w:rsid w:val="001D11B3"/>
    <w:rsid w:val="001D3652"/>
    <w:rsid w:val="001F067D"/>
    <w:rsid w:val="001F0EF5"/>
    <w:rsid w:val="001F1D9E"/>
    <w:rsid w:val="001F6FEA"/>
    <w:rsid w:val="0020775D"/>
    <w:rsid w:val="00210CD2"/>
    <w:rsid w:val="00212475"/>
    <w:rsid w:val="0021319C"/>
    <w:rsid w:val="0021413C"/>
    <w:rsid w:val="00230B2E"/>
    <w:rsid w:val="00232B61"/>
    <w:rsid w:val="00242A85"/>
    <w:rsid w:val="00246819"/>
    <w:rsid w:val="00256060"/>
    <w:rsid w:val="0025796B"/>
    <w:rsid w:val="0026440C"/>
    <w:rsid w:val="00274C70"/>
    <w:rsid w:val="00283D7A"/>
    <w:rsid w:val="00286A78"/>
    <w:rsid w:val="002870F1"/>
    <w:rsid w:val="002A0C35"/>
    <w:rsid w:val="002A7ACD"/>
    <w:rsid w:val="002B4C90"/>
    <w:rsid w:val="002C4AD6"/>
    <w:rsid w:val="002C6DA1"/>
    <w:rsid w:val="002D5F09"/>
    <w:rsid w:val="002D70B5"/>
    <w:rsid w:val="002E1FC5"/>
    <w:rsid w:val="002E7ED4"/>
    <w:rsid w:val="002F0414"/>
    <w:rsid w:val="002F45D2"/>
    <w:rsid w:val="00317410"/>
    <w:rsid w:val="003359E8"/>
    <w:rsid w:val="003443BC"/>
    <w:rsid w:val="003665DD"/>
    <w:rsid w:val="00372DA3"/>
    <w:rsid w:val="0038468C"/>
    <w:rsid w:val="0038483F"/>
    <w:rsid w:val="00384F15"/>
    <w:rsid w:val="00395D2C"/>
    <w:rsid w:val="003B32B4"/>
    <w:rsid w:val="003B3A8D"/>
    <w:rsid w:val="003B504B"/>
    <w:rsid w:val="003C4868"/>
    <w:rsid w:val="003C6D07"/>
    <w:rsid w:val="003D3639"/>
    <w:rsid w:val="003F50B0"/>
    <w:rsid w:val="0040188F"/>
    <w:rsid w:val="004018A2"/>
    <w:rsid w:val="004023AE"/>
    <w:rsid w:val="00404258"/>
    <w:rsid w:val="00407C2E"/>
    <w:rsid w:val="00414836"/>
    <w:rsid w:val="00415C5A"/>
    <w:rsid w:val="00422762"/>
    <w:rsid w:val="00445E7C"/>
    <w:rsid w:val="00445F19"/>
    <w:rsid w:val="004728EF"/>
    <w:rsid w:val="00475502"/>
    <w:rsid w:val="00481C80"/>
    <w:rsid w:val="0049670D"/>
    <w:rsid w:val="004A4383"/>
    <w:rsid w:val="004A448B"/>
    <w:rsid w:val="004B1043"/>
    <w:rsid w:val="004B24A5"/>
    <w:rsid w:val="004B4EF4"/>
    <w:rsid w:val="004C2159"/>
    <w:rsid w:val="004C66F0"/>
    <w:rsid w:val="004D4B02"/>
    <w:rsid w:val="004D63CA"/>
    <w:rsid w:val="004E5B53"/>
    <w:rsid w:val="004F24B8"/>
    <w:rsid w:val="004F4309"/>
    <w:rsid w:val="004F5BB0"/>
    <w:rsid w:val="0050279C"/>
    <w:rsid w:val="00513854"/>
    <w:rsid w:val="00520861"/>
    <w:rsid w:val="00523722"/>
    <w:rsid w:val="00532FE8"/>
    <w:rsid w:val="005542DE"/>
    <w:rsid w:val="0055519E"/>
    <w:rsid w:val="00555494"/>
    <w:rsid w:val="005711D3"/>
    <w:rsid w:val="00596900"/>
    <w:rsid w:val="005A3A60"/>
    <w:rsid w:val="005A472D"/>
    <w:rsid w:val="005B2620"/>
    <w:rsid w:val="005B43B1"/>
    <w:rsid w:val="005C35F3"/>
    <w:rsid w:val="005C4C0E"/>
    <w:rsid w:val="005C5A74"/>
    <w:rsid w:val="005C5FDA"/>
    <w:rsid w:val="005F3A57"/>
    <w:rsid w:val="005F61B9"/>
    <w:rsid w:val="005F7DA5"/>
    <w:rsid w:val="0061535F"/>
    <w:rsid w:val="00616A6C"/>
    <w:rsid w:val="00617CAC"/>
    <w:rsid w:val="006205E1"/>
    <w:rsid w:val="00625DEF"/>
    <w:rsid w:val="006326E6"/>
    <w:rsid w:val="00640D49"/>
    <w:rsid w:val="00657B93"/>
    <w:rsid w:val="00661F7D"/>
    <w:rsid w:val="00672A4A"/>
    <w:rsid w:val="00682428"/>
    <w:rsid w:val="00690287"/>
    <w:rsid w:val="006914AF"/>
    <w:rsid w:val="00694EA1"/>
    <w:rsid w:val="006B1EC0"/>
    <w:rsid w:val="006C04D6"/>
    <w:rsid w:val="006C53AC"/>
    <w:rsid w:val="006C54DC"/>
    <w:rsid w:val="006C62C0"/>
    <w:rsid w:val="006D3B72"/>
    <w:rsid w:val="006F0F3B"/>
    <w:rsid w:val="006F4012"/>
    <w:rsid w:val="007001CD"/>
    <w:rsid w:val="0070122D"/>
    <w:rsid w:val="0070428D"/>
    <w:rsid w:val="00711396"/>
    <w:rsid w:val="0071326A"/>
    <w:rsid w:val="0072684C"/>
    <w:rsid w:val="00726BA4"/>
    <w:rsid w:val="007404EB"/>
    <w:rsid w:val="00742C35"/>
    <w:rsid w:val="007572EA"/>
    <w:rsid w:val="007602C9"/>
    <w:rsid w:val="0076311B"/>
    <w:rsid w:val="00767E08"/>
    <w:rsid w:val="00772106"/>
    <w:rsid w:val="00773D82"/>
    <w:rsid w:val="0077667E"/>
    <w:rsid w:val="00776B94"/>
    <w:rsid w:val="0078670B"/>
    <w:rsid w:val="00791483"/>
    <w:rsid w:val="00793B3D"/>
    <w:rsid w:val="007A4F48"/>
    <w:rsid w:val="007A51B2"/>
    <w:rsid w:val="007A5BB6"/>
    <w:rsid w:val="007A62FA"/>
    <w:rsid w:val="007B13F3"/>
    <w:rsid w:val="007B3E21"/>
    <w:rsid w:val="007C0887"/>
    <w:rsid w:val="007C7579"/>
    <w:rsid w:val="007C7BA6"/>
    <w:rsid w:val="007D35B9"/>
    <w:rsid w:val="007D7DC4"/>
    <w:rsid w:val="007E2A05"/>
    <w:rsid w:val="007F2B7C"/>
    <w:rsid w:val="007F3CE8"/>
    <w:rsid w:val="007F4838"/>
    <w:rsid w:val="007F61AB"/>
    <w:rsid w:val="007F6521"/>
    <w:rsid w:val="008042D7"/>
    <w:rsid w:val="00807BA3"/>
    <w:rsid w:val="0081190E"/>
    <w:rsid w:val="00822284"/>
    <w:rsid w:val="008245BE"/>
    <w:rsid w:val="0082474B"/>
    <w:rsid w:val="008306E6"/>
    <w:rsid w:val="008336E8"/>
    <w:rsid w:val="00847890"/>
    <w:rsid w:val="00850446"/>
    <w:rsid w:val="00872259"/>
    <w:rsid w:val="008760D5"/>
    <w:rsid w:val="0087785D"/>
    <w:rsid w:val="00884404"/>
    <w:rsid w:val="008850AF"/>
    <w:rsid w:val="00890DED"/>
    <w:rsid w:val="0089280C"/>
    <w:rsid w:val="00897F00"/>
    <w:rsid w:val="008A1DD4"/>
    <w:rsid w:val="008A2020"/>
    <w:rsid w:val="008A2859"/>
    <w:rsid w:val="008A2FC0"/>
    <w:rsid w:val="008A488E"/>
    <w:rsid w:val="008B095E"/>
    <w:rsid w:val="008B4BAD"/>
    <w:rsid w:val="008C34B4"/>
    <w:rsid w:val="008D2219"/>
    <w:rsid w:val="008D3B38"/>
    <w:rsid w:val="008D46A1"/>
    <w:rsid w:val="008E4FF0"/>
    <w:rsid w:val="008E6FA3"/>
    <w:rsid w:val="008F41D4"/>
    <w:rsid w:val="008F58D4"/>
    <w:rsid w:val="008F5EF9"/>
    <w:rsid w:val="00907933"/>
    <w:rsid w:val="00922D9E"/>
    <w:rsid w:val="00926977"/>
    <w:rsid w:val="00930A3E"/>
    <w:rsid w:val="00936A97"/>
    <w:rsid w:val="00937D06"/>
    <w:rsid w:val="009422D4"/>
    <w:rsid w:val="0094514C"/>
    <w:rsid w:val="00945D98"/>
    <w:rsid w:val="0094785C"/>
    <w:rsid w:val="009554D1"/>
    <w:rsid w:val="009569C3"/>
    <w:rsid w:val="0097508E"/>
    <w:rsid w:val="00976814"/>
    <w:rsid w:val="009808A5"/>
    <w:rsid w:val="009851A1"/>
    <w:rsid w:val="00990FF5"/>
    <w:rsid w:val="009A0A87"/>
    <w:rsid w:val="009A1F74"/>
    <w:rsid w:val="009A5D8B"/>
    <w:rsid w:val="009B0786"/>
    <w:rsid w:val="009C74B5"/>
    <w:rsid w:val="009D39D3"/>
    <w:rsid w:val="009D430E"/>
    <w:rsid w:val="009E0483"/>
    <w:rsid w:val="009F1714"/>
    <w:rsid w:val="009F1B66"/>
    <w:rsid w:val="009F4C26"/>
    <w:rsid w:val="00A01EE2"/>
    <w:rsid w:val="00A0258A"/>
    <w:rsid w:val="00A1113A"/>
    <w:rsid w:val="00A2013F"/>
    <w:rsid w:val="00A20942"/>
    <w:rsid w:val="00A306B2"/>
    <w:rsid w:val="00A32065"/>
    <w:rsid w:val="00A370CD"/>
    <w:rsid w:val="00A543C6"/>
    <w:rsid w:val="00A705BB"/>
    <w:rsid w:val="00A77292"/>
    <w:rsid w:val="00A80A63"/>
    <w:rsid w:val="00A850A3"/>
    <w:rsid w:val="00A85412"/>
    <w:rsid w:val="00A86736"/>
    <w:rsid w:val="00A87ABB"/>
    <w:rsid w:val="00A93D73"/>
    <w:rsid w:val="00AA4644"/>
    <w:rsid w:val="00AA7FC3"/>
    <w:rsid w:val="00AB015A"/>
    <w:rsid w:val="00AB1F89"/>
    <w:rsid w:val="00AB3E4D"/>
    <w:rsid w:val="00AC3120"/>
    <w:rsid w:val="00AC651B"/>
    <w:rsid w:val="00B0253D"/>
    <w:rsid w:val="00B03717"/>
    <w:rsid w:val="00B217AA"/>
    <w:rsid w:val="00B246B3"/>
    <w:rsid w:val="00B264E0"/>
    <w:rsid w:val="00B34786"/>
    <w:rsid w:val="00B34907"/>
    <w:rsid w:val="00B34F59"/>
    <w:rsid w:val="00B42C4D"/>
    <w:rsid w:val="00B52983"/>
    <w:rsid w:val="00B56161"/>
    <w:rsid w:val="00B6374F"/>
    <w:rsid w:val="00B95D0A"/>
    <w:rsid w:val="00B974BA"/>
    <w:rsid w:val="00BA0432"/>
    <w:rsid w:val="00BA563A"/>
    <w:rsid w:val="00BA76D5"/>
    <w:rsid w:val="00BB3642"/>
    <w:rsid w:val="00BB6CCE"/>
    <w:rsid w:val="00BC3F7F"/>
    <w:rsid w:val="00BE3712"/>
    <w:rsid w:val="00BE4424"/>
    <w:rsid w:val="00BE4C8C"/>
    <w:rsid w:val="00C00046"/>
    <w:rsid w:val="00C0626E"/>
    <w:rsid w:val="00C114D0"/>
    <w:rsid w:val="00C1431F"/>
    <w:rsid w:val="00C14D6F"/>
    <w:rsid w:val="00C307CA"/>
    <w:rsid w:val="00C33D5A"/>
    <w:rsid w:val="00C37139"/>
    <w:rsid w:val="00C4060F"/>
    <w:rsid w:val="00C44D46"/>
    <w:rsid w:val="00C50E9B"/>
    <w:rsid w:val="00C52628"/>
    <w:rsid w:val="00C52766"/>
    <w:rsid w:val="00C536AE"/>
    <w:rsid w:val="00C606C7"/>
    <w:rsid w:val="00C61892"/>
    <w:rsid w:val="00C66EE1"/>
    <w:rsid w:val="00C803D7"/>
    <w:rsid w:val="00C84375"/>
    <w:rsid w:val="00C877B6"/>
    <w:rsid w:val="00C91E74"/>
    <w:rsid w:val="00CA2F17"/>
    <w:rsid w:val="00CA5717"/>
    <w:rsid w:val="00CD3B23"/>
    <w:rsid w:val="00CD7BCB"/>
    <w:rsid w:val="00CE08B2"/>
    <w:rsid w:val="00CE41A6"/>
    <w:rsid w:val="00D03D6B"/>
    <w:rsid w:val="00D07E7B"/>
    <w:rsid w:val="00D139BC"/>
    <w:rsid w:val="00D14C02"/>
    <w:rsid w:val="00D151FF"/>
    <w:rsid w:val="00D15A84"/>
    <w:rsid w:val="00D174F0"/>
    <w:rsid w:val="00D17E50"/>
    <w:rsid w:val="00D37013"/>
    <w:rsid w:val="00D55E73"/>
    <w:rsid w:val="00D55EA4"/>
    <w:rsid w:val="00D603DD"/>
    <w:rsid w:val="00D63249"/>
    <w:rsid w:val="00D965AA"/>
    <w:rsid w:val="00DC1AC0"/>
    <w:rsid w:val="00DC5D19"/>
    <w:rsid w:val="00DD5D75"/>
    <w:rsid w:val="00DE5112"/>
    <w:rsid w:val="00DF1F5C"/>
    <w:rsid w:val="00E03781"/>
    <w:rsid w:val="00E044C6"/>
    <w:rsid w:val="00E1501B"/>
    <w:rsid w:val="00E17F67"/>
    <w:rsid w:val="00E22AE2"/>
    <w:rsid w:val="00E2323A"/>
    <w:rsid w:val="00E33B00"/>
    <w:rsid w:val="00E36E58"/>
    <w:rsid w:val="00E372A5"/>
    <w:rsid w:val="00E42357"/>
    <w:rsid w:val="00E429C8"/>
    <w:rsid w:val="00E54343"/>
    <w:rsid w:val="00E60FF6"/>
    <w:rsid w:val="00E6197A"/>
    <w:rsid w:val="00E74787"/>
    <w:rsid w:val="00E82D9B"/>
    <w:rsid w:val="00E9097B"/>
    <w:rsid w:val="00E948A4"/>
    <w:rsid w:val="00EB1176"/>
    <w:rsid w:val="00EB2CA5"/>
    <w:rsid w:val="00ED370F"/>
    <w:rsid w:val="00EE56DF"/>
    <w:rsid w:val="00EF686C"/>
    <w:rsid w:val="00F03622"/>
    <w:rsid w:val="00F06F1E"/>
    <w:rsid w:val="00F1381E"/>
    <w:rsid w:val="00F149E6"/>
    <w:rsid w:val="00F160E6"/>
    <w:rsid w:val="00F2057B"/>
    <w:rsid w:val="00F21EEE"/>
    <w:rsid w:val="00F30DE1"/>
    <w:rsid w:val="00F316BC"/>
    <w:rsid w:val="00F32279"/>
    <w:rsid w:val="00F34978"/>
    <w:rsid w:val="00F44090"/>
    <w:rsid w:val="00F45C21"/>
    <w:rsid w:val="00F514F9"/>
    <w:rsid w:val="00F65F15"/>
    <w:rsid w:val="00F80357"/>
    <w:rsid w:val="00F944DD"/>
    <w:rsid w:val="00FB3871"/>
    <w:rsid w:val="00FC6AA2"/>
    <w:rsid w:val="00FD7DA8"/>
    <w:rsid w:val="00FF7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5:chartTrackingRefBased/>
  <w15:docId w15:val="{CEF84ABE-61F4-48B3-83FA-A1445E24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2FE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2A0C35"/>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7572EA"/>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D151FF"/>
    <w:pPr>
      <w:keepNext/>
      <w:keepLines/>
      <w:spacing w:before="40" w:after="0"/>
      <w:outlineLvl w:val="3"/>
    </w:pPr>
    <w:rPr>
      <w:rFonts w:eastAsiaTheme="majorEastAsia" w:cstheme="majorBidi"/>
      <w:b/>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7BA3"/>
    <w:rPr>
      <w:color w:val="0563C1" w:themeColor="hyperlink"/>
      <w:u w:val="single"/>
    </w:rPr>
  </w:style>
  <w:style w:type="paragraph" w:styleId="ListParagraph">
    <w:name w:val="List Paragraph"/>
    <w:basedOn w:val="Normal"/>
    <w:uiPriority w:val="34"/>
    <w:qFormat/>
    <w:rsid w:val="00134326"/>
    <w:pPr>
      <w:ind w:left="720"/>
      <w:contextualSpacing/>
    </w:pPr>
  </w:style>
  <w:style w:type="table" w:styleId="TableGrid">
    <w:name w:val="Table Grid"/>
    <w:basedOn w:val="TableNormal"/>
    <w:uiPriority w:val="39"/>
    <w:rsid w:val="007A5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04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4D6"/>
  </w:style>
  <w:style w:type="paragraph" w:styleId="Footer">
    <w:name w:val="footer"/>
    <w:basedOn w:val="Normal"/>
    <w:link w:val="FooterChar"/>
    <w:uiPriority w:val="99"/>
    <w:unhideWhenUsed/>
    <w:rsid w:val="006C0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4D6"/>
  </w:style>
  <w:style w:type="character" w:customStyle="1" w:styleId="Heading1Char">
    <w:name w:val="Heading 1 Char"/>
    <w:basedOn w:val="DefaultParagraphFont"/>
    <w:link w:val="Heading1"/>
    <w:uiPriority w:val="9"/>
    <w:rsid w:val="00532FE8"/>
    <w:rPr>
      <w:rFonts w:eastAsiaTheme="majorEastAsia" w:cstheme="majorBidi"/>
      <w:b/>
      <w:sz w:val="32"/>
      <w:szCs w:val="32"/>
    </w:rPr>
  </w:style>
  <w:style w:type="character" w:customStyle="1" w:styleId="Heading2Char">
    <w:name w:val="Heading 2 Char"/>
    <w:basedOn w:val="DefaultParagraphFont"/>
    <w:link w:val="Heading2"/>
    <w:uiPriority w:val="9"/>
    <w:rsid w:val="002A0C35"/>
    <w:rPr>
      <w:rFonts w:eastAsiaTheme="majorEastAsia" w:cstheme="majorBidi"/>
      <w:b/>
      <w:sz w:val="28"/>
      <w:szCs w:val="26"/>
    </w:rPr>
  </w:style>
  <w:style w:type="character" w:customStyle="1" w:styleId="Heading3Char">
    <w:name w:val="Heading 3 Char"/>
    <w:basedOn w:val="DefaultParagraphFont"/>
    <w:link w:val="Heading3"/>
    <w:uiPriority w:val="9"/>
    <w:rsid w:val="007572EA"/>
    <w:rPr>
      <w:rFonts w:eastAsiaTheme="majorEastAsia" w:cstheme="majorBidi"/>
      <w:b/>
      <w:sz w:val="24"/>
      <w:szCs w:val="24"/>
    </w:rPr>
  </w:style>
  <w:style w:type="paragraph" w:styleId="TOCHeading">
    <w:name w:val="TOC Heading"/>
    <w:basedOn w:val="Heading1"/>
    <w:next w:val="Normal"/>
    <w:uiPriority w:val="39"/>
    <w:unhideWhenUsed/>
    <w:qFormat/>
    <w:rsid w:val="00C50E9B"/>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C50E9B"/>
    <w:pPr>
      <w:spacing w:after="100"/>
    </w:pPr>
  </w:style>
  <w:style w:type="paragraph" w:styleId="TOC2">
    <w:name w:val="toc 2"/>
    <w:basedOn w:val="Normal"/>
    <w:next w:val="Normal"/>
    <w:autoRedefine/>
    <w:uiPriority w:val="39"/>
    <w:unhideWhenUsed/>
    <w:rsid w:val="00C50E9B"/>
    <w:pPr>
      <w:spacing w:after="100"/>
      <w:ind w:left="220"/>
    </w:pPr>
  </w:style>
  <w:style w:type="paragraph" w:styleId="TOC3">
    <w:name w:val="toc 3"/>
    <w:basedOn w:val="Normal"/>
    <w:next w:val="Normal"/>
    <w:autoRedefine/>
    <w:uiPriority w:val="39"/>
    <w:unhideWhenUsed/>
    <w:rsid w:val="00C50E9B"/>
    <w:pPr>
      <w:spacing w:after="100"/>
      <w:ind w:left="440"/>
    </w:pPr>
  </w:style>
  <w:style w:type="character" w:customStyle="1" w:styleId="Heading4Char">
    <w:name w:val="Heading 4 Char"/>
    <w:basedOn w:val="DefaultParagraphFont"/>
    <w:link w:val="Heading4"/>
    <w:uiPriority w:val="9"/>
    <w:rsid w:val="00D151FF"/>
    <w:rPr>
      <w:rFonts w:eastAsiaTheme="majorEastAsia" w:cstheme="majorBidi"/>
      <w:b/>
      <w:iCs/>
      <w:u w:val="single"/>
    </w:rPr>
  </w:style>
  <w:style w:type="table" w:styleId="PlainTable1">
    <w:name w:val="Plain Table 1"/>
    <w:basedOn w:val="TableNormal"/>
    <w:uiPriority w:val="41"/>
    <w:rsid w:val="004B10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E82D9B"/>
    <w:pPr>
      <w:spacing w:after="0" w:line="240" w:lineRule="auto"/>
    </w:pPr>
  </w:style>
  <w:style w:type="character" w:styleId="FollowedHyperlink">
    <w:name w:val="FollowedHyperlink"/>
    <w:basedOn w:val="DefaultParagraphFont"/>
    <w:uiPriority w:val="99"/>
    <w:semiHidden/>
    <w:unhideWhenUsed/>
    <w:rsid w:val="004A448B"/>
    <w:rPr>
      <w:color w:val="954F72" w:themeColor="followedHyperlink"/>
      <w:u w:val="single"/>
    </w:rPr>
  </w:style>
  <w:style w:type="paragraph" w:styleId="BalloonText">
    <w:name w:val="Balloon Text"/>
    <w:basedOn w:val="Normal"/>
    <w:link w:val="BalloonTextChar"/>
    <w:uiPriority w:val="99"/>
    <w:semiHidden/>
    <w:unhideWhenUsed/>
    <w:rsid w:val="00555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494"/>
    <w:rPr>
      <w:rFonts w:ascii="Segoe UI" w:hAnsi="Segoe UI" w:cs="Segoe UI"/>
      <w:sz w:val="18"/>
      <w:szCs w:val="18"/>
    </w:rPr>
  </w:style>
  <w:style w:type="table" w:styleId="TableGridLight">
    <w:name w:val="Grid Table Light"/>
    <w:basedOn w:val="TableNormal"/>
    <w:uiPriority w:val="40"/>
    <w:rsid w:val="00407C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7445">
      <w:bodyDiv w:val="1"/>
      <w:marLeft w:val="0"/>
      <w:marRight w:val="0"/>
      <w:marTop w:val="0"/>
      <w:marBottom w:val="0"/>
      <w:divBdr>
        <w:top w:val="none" w:sz="0" w:space="0" w:color="auto"/>
        <w:left w:val="none" w:sz="0" w:space="0" w:color="auto"/>
        <w:bottom w:val="none" w:sz="0" w:space="0" w:color="auto"/>
        <w:right w:val="none" w:sz="0" w:space="0" w:color="auto"/>
      </w:divBdr>
    </w:div>
    <w:div w:id="138619653">
      <w:bodyDiv w:val="1"/>
      <w:marLeft w:val="0"/>
      <w:marRight w:val="0"/>
      <w:marTop w:val="0"/>
      <w:marBottom w:val="0"/>
      <w:divBdr>
        <w:top w:val="none" w:sz="0" w:space="0" w:color="auto"/>
        <w:left w:val="none" w:sz="0" w:space="0" w:color="auto"/>
        <w:bottom w:val="none" w:sz="0" w:space="0" w:color="auto"/>
        <w:right w:val="none" w:sz="0" w:space="0" w:color="auto"/>
      </w:divBdr>
    </w:div>
    <w:div w:id="174419973">
      <w:bodyDiv w:val="1"/>
      <w:marLeft w:val="0"/>
      <w:marRight w:val="0"/>
      <w:marTop w:val="0"/>
      <w:marBottom w:val="0"/>
      <w:divBdr>
        <w:top w:val="none" w:sz="0" w:space="0" w:color="auto"/>
        <w:left w:val="none" w:sz="0" w:space="0" w:color="auto"/>
        <w:bottom w:val="none" w:sz="0" w:space="0" w:color="auto"/>
        <w:right w:val="none" w:sz="0" w:space="0" w:color="auto"/>
      </w:divBdr>
    </w:div>
    <w:div w:id="197352396">
      <w:bodyDiv w:val="1"/>
      <w:marLeft w:val="0"/>
      <w:marRight w:val="0"/>
      <w:marTop w:val="0"/>
      <w:marBottom w:val="0"/>
      <w:divBdr>
        <w:top w:val="none" w:sz="0" w:space="0" w:color="auto"/>
        <w:left w:val="none" w:sz="0" w:space="0" w:color="auto"/>
        <w:bottom w:val="none" w:sz="0" w:space="0" w:color="auto"/>
        <w:right w:val="none" w:sz="0" w:space="0" w:color="auto"/>
      </w:divBdr>
      <w:divsChild>
        <w:div w:id="2106025768">
          <w:marLeft w:val="0"/>
          <w:marRight w:val="0"/>
          <w:marTop w:val="0"/>
          <w:marBottom w:val="0"/>
          <w:divBdr>
            <w:top w:val="none" w:sz="0" w:space="0" w:color="auto"/>
            <w:left w:val="none" w:sz="0" w:space="0" w:color="auto"/>
            <w:bottom w:val="none" w:sz="0" w:space="0" w:color="auto"/>
            <w:right w:val="none" w:sz="0" w:space="0" w:color="auto"/>
          </w:divBdr>
          <w:divsChild>
            <w:div w:id="1541479269">
              <w:marLeft w:val="0"/>
              <w:marRight w:val="0"/>
              <w:marTop w:val="0"/>
              <w:marBottom w:val="0"/>
              <w:divBdr>
                <w:top w:val="none" w:sz="0" w:space="0" w:color="auto"/>
                <w:left w:val="none" w:sz="0" w:space="0" w:color="auto"/>
                <w:bottom w:val="none" w:sz="0" w:space="0" w:color="auto"/>
                <w:right w:val="none" w:sz="0" w:space="0" w:color="auto"/>
              </w:divBdr>
              <w:divsChild>
                <w:div w:id="929780851">
                  <w:marLeft w:val="-225"/>
                  <w:marRight w:val="-225"/>
                  <w:marTop w:val="0"/>
                  <w:marBottom w:val="0"/>
                  <w:divBdr>
                    <w:top w:val="none" w:sz="0" w:space="0" w:color="auto"/>
                    <w:left w:val="none" w:sz="0" w:space="0" w:color="auto"/>
                    <w:bottom w:val="none" w:sz="0" w:space="0" w:color="auto"/>
                    <w:right w:val="none" w:sz="0" w:space="0" w:color="auto"/>
                  </w:divBdr>
                  <w:divsChild>
                    <w:div w:id="4811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08483">
      <w:bodyDiv w:val="1"/>
      <w:marLeft w:val="0"/>
      <w:marRight w:val="0"/>
      <w:marTop w:val="0"/>
      <w:marBottom w:val="0"/>
      <w:divBdr>
        <w:top w:val="none" w:sz="0" w:space="0" w:color="auto"/>
        <w:left w:val="none" w:sz="0" w:space="0" w:color="auto"/>
        <w:bottom w:val="none" w:sz="0" w:space="0" w:color="auto"/>
        <w:right w:val="none" w:sz="0" w:space="0" w:color="auto"/>
      </w:divBdr>
    </w:div>
    <w:div w:id="1118523673">
      <w:bodyDiv w:val="1"/>
      <w:marLeft w:val="0"/>
      <w:marRight w:val="0"/>
      <w:marTop w:val="0"/>
      <w:marBottom w:val="0"/>
      <w:divBdr>
        <w:top w:val="none" w:sz="0" w:space="0" w:color="auto"/>
        <w:left w:val="none" w:sz="0" w:space="0" w:color="auto"/>
        <w:bottom w:val="none" w:sz="0" w:space="0" w:color="auto"/>
        <w:right w:val="none" w:sz="0" w:space="0" w:color="auto"/>
      </w:divBdr>
      <w:divsChild>
        <w:div w:id="1146244049">
          <w:marLeft w:val="0"/>
          <w:marRight w:val="0"/>
          <w:marTop w:val="0"/>
          <w:marBottom w:val="0"/>
          <w:divBdr>
            <w:top w:val="none" w:sz="0" w:space="0" w:color="auto"/>
            <w:left w:val="none" w:sz="0" w:space="0" w:color="auto"/>
            <w:bottom w:val="none" w:sz="0" w:space="0" w:color="auto"/>
            <w:right w:val="none" w:sz="0" w:space="0" w:color="auto"/>
          </w:divBdr>
          <w:divsChild>
            <w:div w:id="779300098">
              <w:marLeft w:val="0"/>
              <w:marRight w:val="0"/>
              <w:marTop w:val="0"/>
              <w:marBottom w:val="0"/>
              <w:divBdr>
                <w:top w:val="none" w:sz="0" w:space="0" w:color="auto"/>
                <w:left w:val="none" w:sz="0" w:space="0" w:color="auto"/>
                <w:bottom w:val="none" w:sz="0" w:space="0" w:color="auto"/>
                <w:right w:val="none" w:sz="0" w:space="0" w:color="auto"/>
              </w:divBdr>
              <w:divsChild>
                <w:div w:id="2000887471">
                  <w:marLeft w:val="0"/>
                  <w:marRight w:val="0"/>
                  <w:marTop w:val="0"/>
                  <w:marBottom w:val="0"/>
                  <w:divBdr>
                    <w:top w:val="none" w:sz="0" w:space="0" w:color="auto"/>
                    <w:left w:val="none" w:sz="0" w:space="0" w:color="auto"/>
                    <w:bottom w:val="none" w:sz="0" w:space="0" w:color="auto"/>
                    <w:right w:val="none" w:sz="0" w:space="0" w:color="auto"/>
                  </w:divBdr>
                  <w:divsChild>
                    <w:div w:id="1340350773">
                      <w:marLeft w:val="0"/>
                      <w:marRight w:val="0"/>
                      <w:marTop w:val="0"/>
                      <w:marBottom w:val="0"/>
                      <w:divBdr>
                        <w:top w:val="none" w:sz="0" w:space="0" w:color="auto"/>
                        <w:left w:val="none" w:sz="0" w:space="0" w:color="auto"/>
                        <w:bottom w:val="none" w:sz="0" w:space="0" w:color="auto"/>
                        <w:right w:val="none" w:sz="0" w:space="0" w:color="auto"/>
                      </w:divBdr>
                      <w:divsChild>
                        <w:div w:id="1340350335">
                          <w:marLeft w:val="0"/>
                          <w:marRight w:val="0"/>
                          <w:marTop w:val="0"/>
                          <w:marBottom w:val="0"/>
                          <w:divBdr>
                            <w:top w:val="none" w:sz="0" w:space="0" w:color="auto"/>
                            <w:left w:val="none" w:sz="0" w:space="0" w:color="auto"/>
                            <w:bottom w:val="none" w:sz="0" w:space="0" w:color="auto"/>
                            <w:right w:val="none" w:sz="0" w:space="0" w:color="auto"/>
                          </w:divBdr>
                          <w:divsChild>
                            <w:div w:id="1424767145">
                              <w:marLeft w:val="0"/>
                              <w:marRight w:val="0"/>
                              <w:marTop w:val="0"/>
                              <w:marBottom w:val="0"/>
                              <w:divBdr>
                                <w:top w:val="none" w:sz="0" w:space="0" w:color="auto"/>
                                <w:left w:val="none" w:sz="0" w:space="0" w:color="auto"/>
                                <w:bottom w:val="none" w:sz="0" w:space="0" w:color="auto"/>
                                <w:right w:val="none" w:sz="0" w:space="0" w:color="auto"/>
                              </w:divBdr>
                              <w:divsChild>
                                <w:div w:id="2136411352">
                                  <w:marLeft w:val="0"/>
                                  <w:marRight w:val="0"/>
                                  <w:marTop w:val="0"/>
                                  <w:marBottom w:val="0"/>
                                  <w:divBdr>
                                    <w:top w:val="none" w:sz="0" w:space="0" w:color="auto"/>
                                    <w:left w:val="none" w:sz="0" w:space="0" w:color="auto"/>
                                    <w:bottom w:val="none" w:sz="0" w:space="0" w:color="auto"/>
                                    <w:right w:val="none" w:sz="0" w:space="0" w:color="auto"/>
                                  </w:divBdr>
                                  <w:divsChild>
                                    <w:div w:id="1090128386">
                                      <w:marLeft w:val="0"/>
                                      <w:marRight w:val="0"/>
                                      <w:marTop w:val="0"/>
                                      <w:marBottom w:val="0"/>
                                      <w:divBdr>
                                        <w:top w:val="none" w:sz="0" w:space="0" w:color="auto"/>
                                        <w:left w:val="none" w:sz="0" w:space="0" w:color="auto"/>
                                        <w:bottom w:val="none" w:sz="0" w:space="0" w:color="auto"/>
                                        <w:right w:val="none" w:sz="0" w:space="0" w:color="auto"/>
                                      </w:divBdr>
                                      <w:divsChild>
                                        <w:div w:id="1451320812">
                                          <w:marLeft w:val="0"/>
                                          <w:marRight w:val="0"/>
                                          <w:marTop w:val="0"/>
                                          <w:marBottom w:val="0"/>
                                          <w:divBdr>
                                            <w:top w:val="none" w:sz="0" w:space="0" w:color="auto"/>
                                            <w:left w:val="none" w:sz="0" w:space="0" w:color="auto"/>
                                            <w:bottom w:val="none" w:sz="0" w:space="0" w:color="auto"/>
                                            <w:right w:val="none" w:sz="0" w:space="0" w:color="auto"/>
                                          </w:divBdr>
                                          <w:divsChild>
                                            <w:div w:id="1862206209">
                                              <w:marLeft w:val="0"/>
                                              <w:marRight w:val="0"/>
                                              <w:marTop w:val="0"/>
                                              <w:marBottom w:val="0"/>
                                              <w:divBdr>
                                                <w:top w:val="none" w:sz="0" w:space="0" w:color="auto"/>
                                                <w:left w:val="none" w:sz="0" w:space="0" w:color="auto"/>
                                                <w:bottom w:val="none" w:sz="0" w:space="0" w:color="auto"/>
                                                <w:right w:val="none" w:sz="0" w:space="0" w:color="auto"/>
                                              </w:divBdr>
                                              <w:divsChild>
                                                <w:div w:id="18774991">
                                                  <w:marLeft w:val="0"/>
                                                  <w:marRight w:val="0"/>
                                                  <w:marTop w:val="0"/>
                                                  <w:marBottom w:val="0"/>
                                                  <w:divBdr>
                                                    <w:top w:val="none" w:sz="0" w:space="0" w:color="auto"/>
                                                    <w:left w:val="none" w:sz="0" w:space="0" w:color="auto"/>
                                                    <w:bottom w:val="none" w:sz="0" w:space="0" w:color="auto"/>
                                                    <w:right w:val="none" w:sz="0" w:space="0" w:color="auto"/>
                                                  </w:divBdr>
                                                  <w:divsChild>
                                                    <w:div w:id="1294021285">
                                                      <w:marLeft w:val="0"/>
                                                      <w:marRight w:val="0"/>
                                                      <w:marTop w:val="0"/>
                                                      <w:marBottom w:val="0"/>
                                                      <w:divBdr>
                                                        <w:top w:val="none" w:sz="0" w:space="0" w:color="auto"/>
                                                        <w:left w:val="none" w:sz="0" w:space="0" w:color="auto"/>
                                                        <w:bottom w:val="none" w:sz="0" w:space="0" w:color="auto"/>
                                                        <w:right w:val="none" w:sz="0" w:space="0" w:color="auto"/>
                                                      </w:divBdr>
                                                      <w:divsChild>
                                                        <w:div w:id="988291043">
                                                          <w:marLeft w:val="0"/>
                                                          <w:marRight w:val="0"/>
                                                          <w:marTop w:val="0"/>
                                                          <w:marBottom w:val="0"/>
                                                          <w:divBdr>
                                                            <w:top w:val="none" w:sz="0" w:space="0" w:color="auto"/>
                                                            <w:left w:val="none" w:sz="0" w:space="0" w:color="auto"/>
                                                            <w:bottom w:val="none" w:sz="0" w:space="0" w:color="auto"/>
                                                            <w:right w:val="none" w:sz="0" w:space="0" w:color="auto"/>
                                                          </w:divBdr>
                                                          <w:divsChild>
                                                            <w:div w:id="49307022">
                                                              <w:marLeft w:val="0"/>
                                                              <w:marRight w:val="0"/>
                                                              <w:marTop w:val="0"/>
                                                              <w:marBottom w:val="0"/>
                                                              <w:divBdr>
                                                                <w:top w:val="none" w:sz="0" w:space="0" w:color="auto"/>
                                                                <w:left w:val="none" w:sz="0" w:space="0" w:color="auto"/>
                                                                <w:bottom w:val="none" w:sz="0" w:space="0" w:color="auto"/>
                                                                <w:right w:val="none" w:sz="0" w:space="0" w:color="auto"/>
                                                              </w:divBdr>
                                                              <w:divsChild>
                                                                <w:div w:id="304702371">
                                                                  <w:marLeft w:val="0"/>
                                                                  <w:marRight w:val="0"/>
                                                                  <w:marTop w:val="0"/>
                                                                  <w:marBottom w:val="0"/>
                                                                  <w:divBdr>
                                                                    <w:top w:val="none" w:sz="0" w:space="0" w:color="auto"/>
                                                                    <w:left w:val="none" w:sz="0" w:space="0" w:color="auto"/>
                                                                    <w:bottom w:val="none" w:sz="0" w:space="0" w:color="auto"/>
                                                                    <w:right w:val="none" w:sz="0" w:space="0" w:color="auto"/>
                                                                  </w:divBdr>
                                                                  <w:divsChild>
                                                                    <w:div w:id="1724523536">
                                                                      <w:marLeft w:val="0"/>
                                                                      <w:marRight w:val="0"/>
                                                                      <w:marTop w:val="0"/>
                                                                      <w:marBottom w:val="0"/>
                                                                      <w:divBdr>
                                                                        <w:top w:val="none" w:sz="0" w:space="0" w:color="auto"/>
                                                                        <w:left w:val="none" w:sz="0" w:space="0" w:color="auto"/>
                                                                        <w:bottom w:val="none" w:sz="0" w:space="0" w:color="auto"/>
                                                                        <w:right w:val="none" w:sz="0" w:space="0" w:color="auto"/>
                                                                      </w:divBdr>
                                                                      <w:divsChild>
                                                                        <w:div w:id="2011444207">
                                                                          <w:marLeft w:val="0"/>
                                                                          <w:marRight w:val="0"/>
                                                                          <w:marTop w:val="0"/>
                                                                          <w:marBottom w:val="0"/>
                                                                          <w:divBdr>
                                                                            <w:top w:val="none" w:sz="0" w:space="0" w:color="auto"/>
                                                                            <w:left w:val="none" w:sz="0" w:space="0" w:color="auto"/>
                                                                            <w:bottom w:val="none" w:sz="0" w:space="0" w:color="auto"/>
                                                                            <w:right w:val="none" w:sz="0" w:space="0" w:color="auto"/>
                                                                          </w:divBdr>
                                                                          <w:divsChild>
                                                                            <w:div w:id="115223131">
                                                                              <w:marLeft w:val="0"/>
                                                                              <w:marRight w:val="0"/>
                                                                              <w:marTop w:val="0"/>
                                                                              <w:marBottom w:val="0"/>
                                                                              <w:divBdr>
                                                                                <w:top w:val="none" w:sz="0" w:space="0" w:color="auto"/>
                                                                                <w:left w:val="none" w:sz="0" w:space="0" w:color="auto"/>
                                                                                <w:bottom w:val="none" w:sz="0" w:space="0" w:color="auto"/>
                                                                                <w:right w:val="none" w:sz="0" w:space="0" w:color="auto"/>
                                                                              </w:divBdr>
                                                                              <w:divsChild>
                                                                                <w:div w:id="10251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323222">
      <w:bodyDiv w:val="1"/>
      <w:marLeft w:val="0"/>
      <w:marRight w:val="0"/>
      <w:marTop w:val="0"/>
      <w:marBottom w:val="0"/>
      <w:divBdr>
        <w:top w:val="none" w:sz="0" w:space="0" w:color="auto"/>
        <w:left w:val="none" w:sz="0" w:space="0" w:color="auto"/>
        <w:bottom w:val="none" w:sz="0" w:space="0" w:color="auto"/>
        <w:right w:val="none" w:sz="0" w:space="0" w:color="auto"/>
      </w:divBdr>
    </w:div>
    <w:div w:id="1349679568">
      <w:bodyDiv w:val="1"/>
      <w:marLeft w:val="0"/>
      <w:marRight w:val="0"/>
      <w:marTop w:val="0"/>
      <w:marBottom w:val="0"/>
      <w:divBdr>
        <w:top w:val="none" w:sz="0" w:space="0" w:color="auto"/>
        <w:left w:val="none" w:sz="0" w:space="0" w:color="auto"/>
        <w:bottom w:val="none" w:sz="0" w:space="0" w:color="auto"/>
        <w:right w:val="none" w:sz="0" w:space="0" w:color="auto"/>
      </w:divBdr>
      <w:divsChild>
        <w:div w:id="1712877084">
          <w:marLeft w:val="0"/>
          <w:marRight w:val="0"/>
          <w:marTop w:val="0"/>
          <w:marBottom w:val="0"/>
          <w:divBdr>
            <w:top w:val="none" w:sz="0" w:space="0" w:color="auto"/>
            <w:left w:val="none" w:sz="0" w:space="0" w:color="auto"/>
            <w:bottom w:val="none" w:sz="0" w:space="0" w:color="auto"/>
            <w:right w:val="none" w:sz="0" w:space="0" w:color="auto"/>
          </w:divBdr>
          <w:divsChild>
            <w:div w:id="818425405">
              <w:marLeft w:val="0"/>
              <w:marRight w:val="0"/>
              <w:marTop w:val="0"/>
              <w:marBottom w:val="0"/>
              <w:divBdr>
                <w:top w:val="none" w:sz="0" w:space="0" w:color="auto"/>
                <w:left w:val="none" w:sz="0" w:space="0" w:color="auto"/>
                <w:bottom w:val="none" w:sz="0" w:space="0" w:color="auto"/>
                <w:right w:val="none" w:sz="0" w:space="0" w:color="auto"/>
              </w:divBdr>
              <w:divsChild>
                <w:div w:id="1753509246">
                  <w:marLeft w:val="0"/>
                  <w:marRight w:val="0"/>
                  <w:marTop w:val="0"/>
                  <w:marBottom w:val="0"/>
                  <w:divBdr>
                    <w:top w:val="none" w:sz="0" w:space="0" w:color="auto"/>
                    <w:left w:val="none" w:sz="0" w:space="0" w:color="auto"/>
                    <w:bottom w:val="none" w:sz="0" w:space="0" w:color="auto"/>
                    <w:right w:val="none" w:sz="0" w:space="0" w:color="auto"/>
                  </w:divBdr>
                  <w:divsChild>
                    <w:div w:id="1282565753">
                      <w:marLeft w:val="0"/>
                      <w:marRight w:val="0"/>
                      <w:marTop w:val="0"/>
                      <w:marBottom w:val="0"/>
                      <w:divBdr>
                        <w:top w:val="none" w:sz="0" w:space="0" w:color="auto"/>
                        <w:left w:val="none" w:sz="0" w:space="0" w:color="auto"/>
                        <w:bottom w:val="none" w:sz="0" w:space="0" w:color="auto"/>
                        <w:right w:val="none" w:sz="0" w:space="0" w:color="auto"/>
                      </w:divBdr>
                      <w:divsChild>
                        <w:div w:id="837965762">
                          <w:marLeft w:val="0"/>
                          <w:marRight w:val="0"/>
                          <w:marTop w:val="0"/>
                          <w:marBottom w:val="0"/>
                          <w:divBdr>
                            <w:top w:val="none" w:sz="0" w:space="0" w:color="auto"/>
                            <w:left w:val="none" w:sz="0" w:space="0" w:color="auto"/>
                            <w:bottom w:val="none" w:sz="0" w:space="0" w:color="auto"/>
                            <w:right w:val="none" w:sz="0" w:space="0" w:color="auto"/>
                          </w:divBdr>
                          <w:divsChild>
                            <w:div w:id="1810898941">
                              <w:marLeft w:val="0"/>
                              <w:marRight w:val="0"/>
                              <w:marTop w:val="0"/>
                              <w:marBottom w:val="0"/>
                              <w:divBdr>
                                <w:top w:val="none" w:sz="0" w:space="0" w:color="auto"/>
                                <w:left w:val="none" w:sz="0" w:space="0" w:color="auto"/>
                                <w:bottom w:val="none" w:sz="0" w:space="0" w:color="auto"/>
                                <w:right w:val="none" w:sz="0" w:space="0" w:color="auto"/>
                              </w:divBdr>
                              <w:divsChild>
                                <w:div w:id="1228614108">
                                  <w:marLeft w:val="0"/>
                                  <w:marRight w:val="0"/>
                                  <w:marTop w:val="0"/>
                                  <w:marBottom w:val="0"/>
                                  <w:divBdr>
                                    <w:top w:val="none" w:sz="0" w:space="0" w:color="auto"/>
                                    <w:left w:val="none" w:sz="0" w:space="0" w:color="auto"/>
                                    <w:bottom w:val="none" w:sz="0" w:space="0" w:color="auto"/>
                                    <w:right w:val="none" w:sz="0" w:space="0" w:color="auto"/>
                                  </w:divBdr>
                                  <w:divsChild>
                                    <w:div w:id="1068109250">
                                      <w:marLeft w:val="0"/>
                                      <w:marRight w:val="0"/>
                                      <w:marTop w:val="0"/>
                                      <w:marBottom w:val="0"/>
                                      <w:divBdr>
                                        <w:top w:val="none" w:sz="0" w:space="0" w:color="auto"/>
                                        <w:left w:val="none" w:sz="0" w:space="0" w:color="auto"/>
                                        <w:bottom w:val="none" w:sz="0" w:space="0" w:color="auto"/>
                                        <w:right w:val="none" w:sz="0" w:space="0" w:color="auto"/>
                                      </w:divBdr>
                                      <w:divsChild>
                                        <w:div w:id="865797766">
                                          <w:marLeft w:val="0"/>
                                          <w:marRight w:val="0"/>
                                          <w:marTop w:val="0"/>
                                          <w:marBottom w:val="0"/>
                                          <w:divBdr>
                                            <w:top w:val="none" w:sz="0" w:space="0" w:color="auto"/>
                                            <w:left w:val="none" w:sz="0" w:space="0" w:color="auto"/>
                                            <w:bottom w:val="none" w:sz="0" w:space="0" w:color="auto"/>
                                            <w:right w:val="none" w:sz="0" w:space="0" w:color="auto"/>
                                          </w:divBdr>
                                          <w:divsChild>
                                            <w:div w:id="1490244835">
                                              <w:marLeft w:val="0"/>
                                              <w:marRight w:val="0"/>
                                              <w:marTop w:val="0"/>
                                              <w:marBottom w:val="0"/>
                                              <w:divBdr>
                                                <w:top w:val="none" w:sz="0" w:space="0" w:color="auto"/>
                                                <w:left w:val="none" w:sz="0" w:space="0" w:color="auto"/>
                                                <w:bottom w:val="none" w:sz="0" w:space="0" w:color="auto"/>
                                                <w:right w:val="none" w:sz="0" w:space="0" w:color="auto"/>
                                              </w:divBdr>
                                              <w:divsChild>
                                                <w:div w:id="1515068614">
                                                  <w:marLeft w:val="0"/>
                                                  <w:marRight w:val="0"/>
                                                  <w:marTop w:val="0"/>
                                                  <w:marBottom w:val="0"/>
                                                  <w:divBdr>
                                                    <w:top w:val="none" w:sz="0" w:space="0" w:color="auto"/>
                                                    <w:left w:val="none" w:sz="0" w:space="0" w:color="auto"/>
                                                    <w:bottom w:val="none" w:sz="0" w:space="0" w:color="auto"/>
                                                    <w:right w:val="none" w:sz="0" w:space="0" w:color="auto"/>
                                                  </w:divBdr>
                                                  <w:divsChild>
                                                    <w:div w:id="501772942">
                                                      <w:marLeft w:val="0"/>
                                                      <w:marRight w:val="0"/>
                                                      <w:marTop w:val="0"/>
                                                      <w:marBottom w:val="0"/>
                                                      <w:divBdr>
                                                        <w:top w:val="none" w:sz="0" w:space="0" w:color="auto"/>
                                                        <w:left w:val="none" w:sz="0" w:space="0" w:color="auto"/>
                                                        <w:bottom w:val="none" w:sz="0" w:space="0" w:color="auto"/>
                                                        <w:right w:val="none" w:sz="0" w:space="0" w:color="auto"/>
                                                      </w:divBdr>
                                                      <w:divsChild>
                                                        <w:div w:id="448865697">
                                                          <w:marLeft w:val="0"/>
                                                          <w:marRight w:val="0"/>
                                                          <w:marTop w:val="0"/>
                                                          <w:marBottom w:val="0"/>
                                                          <w:divBdr>
                                                            <w:top w:val="none" w:sz="0" w:space="0" w:color="auto"/>
                                                            <w:left w:val="none" w:sz="0" w:space="0" w:color="auto"/>
                                                            <w:bottom w:val="none" w:sz="0" w:space="0" w:color="auto"/>
                                                            <w:right w:val="none" w:sz="0" w:space="0" w:color="auto"/>
                                                          </w:divBdr>
                                                          <w:divsChild>
                                                            <w:div w:id="1613971581">
                                                              <w:marLeft w:val="0"/>
                                                              <w:marRight w:val="0"/>
                                                              <w:marTop w:val="0"/>
                                                              <w:marBottom w:val="0"/>
                                                              <w:divBdr>
                                                                <w:top w:val="none" w:sz="0" w:space="0" w:color="auto"/>
                                                                <w:left w:val="none" w:sz="0" w:space="0" w:color="auto"/>
                                                                <w:bottom w:val="none" w:sz="0" w:space="0" w:color="auto"/>
                                                                <w:right w:val="none" w:sz="0" w:space="0" w:color="auto"/>
                                                              </w:divBdr>
                                                              <w:divsChild>
                                                                <w:div w:id="1789278391">
                                                                  <w:marLeft w:val="0"/>
                                                                  <w:marRight w:val="0"/>
                                                                  <w:marTop w:val="0"/>
                                                                  <w:marBottom w:val="0"/>
                                                                  <w:divBdr>
                                                                    <w:top w:val="none" w:sz="0" w:space="0" w:color="auto"/>
                                                                    <w:left w:val="none" w:sz="0" w:space="0" w:color="auto"/>
                                                                    <w:bottom w:val="none" w:sz="0" w:space="0" w:color="auto"/>
                                                                    <w:right w:val="none" w:sz="0" w:space="0" w:color="auto"/>
                                                                  </w:divBdr>
                                                                  <w:divsChild>
                                                                    <w:div w:id="1863957">
                                                                      <w:marLeft w:val="0"/>
                                                                      <w:marRight w:val="0"/>
                                                                      <w:marTop w:val="0"/>
                                                                      <w:marBottom w:val="0"/>
                                                                      <w:divBdr>
                                                                        <w:top w:val="none" w:sz="0" w:space="0" w:color="auto"/>
                                                                        <w:left w:val="none" w:sz="0" w:space="0" w:color="auto"/>
                                                                        <w:bottom w:val="none" w:sz="0" w:space="0" w:color="auto"/>
                                                                        <w:right w:val="none" w:sz="0" w:space="0" w:color="auto"/>
                                                                      </w:divBdr>
                                                                      <w:divsChild>
                                                                        <w:div w:id="1548954730">
                                                                          <w:marLeft w:val="0"/>
                                                                          <w:marRight w:val="0"/>
                                                                          <w:marTop w:val="0"/>
                                                                          <w:marBottom w:val="0"/>
                                                                          <w:divBdr>
                                                                            <w:top w:val="none" w:sz="0" w:space="0" w:color="auto"/>
                                                                            <w:left w:val="none" w:sz="0" w:space="0" w:color="auto"/>
                                                                            <w:bottom w:val="none" w:sz="0" w:space="0" w:color="auto"/>
                                                                            <w:right w:val="none" w:sz="0" w:space="0" w:color="auto"/>
                                                                          </w:divBdr>
                                                                          <w:divsChild>
                                                                            <w:div w:id="1628051143">
                                                                              <w:marLeft w:val="0"/>
                                                                              <w:marRight w:val="0"/>
                                                                              <w:marTop w:val="0"/>
                                                                              <w:marBottom w:val="0"/>
                                                                              <w:divBdr>
                                                                                <w:top w:val="none" w:sz="0" w:space="0" w:color="auto"/>
                                                                                <w:left w:val="none" w:sz="0" w:space="0" w:color="auto"/>
                                                                                <w:bottom w:val="none" w:sz="0" w:space="0" w:color="auto"/>
                                                                                <w:right w:val="none" w:sz="0" w:space="0" w:color="auto"/>
                                                                              </w:divBdr>
                                                                              <w:divsChild>
                                                                                <w:div w:id="16673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84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sepa.org.uk" TargetMode="External"/><Relationship Id="rId13" Type="http://schemas.openxmlformats.org/officeDocument/2006/relationships/hyperlink" Target="https://www.sepa.org.uk/environment/waste/waste-data/waste-data-reporting/waste-data-for-scotland/" TargetMode="External"/><Relationship Id="rId18" Type="http://schemas.openxmlformats.org/officeDocument/2006/relationships/chart" Target="charts/chart4.xml"/><Relationship Id="rId26" Type="http://schemas.openxmlformats.org/officeDocument/2006/relationships/hyperlink" Target="http://prtr.defra.gov.uk/" TargetMode="External"/><Relationship Id="rId39" Type="http://schemas.openxmlformats.org/officeDocument/2006/relationships/hyperlink" Target="https://www.sepa.org.uk/regulations/authorisations-and-permits/compliance-assessment-scheme/"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www.unece.org/env/lrtap/welcome.html.html" TargetMode="External"/><Relationship Id="rId42" Type="http://schemas.openxmlformats.org/officeDocument/2006/relationships/hyperlink" Target="http://prtr.ec.europa.e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hyperlink" Target="http://www.unece.org/env/pp/introduction.html" TargetMode="External"/><Relationship Id="rId33" Type="http://schemas.openxmlformats.org/officeDocument/2006/relationships/hyperlink" Target="http://www.naei.org.uk/" TargetMode="External"/><Relationship Id="rId38" Type="http://schemas.openxmlformats.org/officeDocument/2006/relationships/hyperlink" Target="https://www.sepa.org.uk/media/145344/spri_schedule.pdf"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inspire.ec.europa.eu/" TargetMode="External"/><Relationship Id="rId41" Type="http://schemas.openxmlformats.org/officeDocument/2006/relationships/hyperlink" Target="http://www.sepa.org.uk/air/process_industry_regulation/pollutant_release_inventory/what_is_spri.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unece.org/env/pp/prtr.htm" TargetMode="External"/><Relationship Id="rId32" Type="http://schemas.openxmlformats.org/officeDocument/2006/relationships/hyperlink" Target="http://www.prtr.net/" TargetMode="External"/><Relationship Id="rId37" Type="http://schemas.openxmlformats.org/officeDocument/2006/relationships/hyperlink" Target="https://www2.gov.scot/Topics/marine/science/atlas" TargetMode="External"/><Relationship Id="rId40" Type="http://schemas.openxmlformats.org/officeDocument/2006/relationships/hyperlink" Target="https://prtr.eea.europa.eu/"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s://ec.europa.eu/environment/industry/stationary/ied/legislation.htm" TargetMode="External"/><Relationship Id="rId36" Type="http://schemas.openxmlformats.org/officeDocument/2006/relationships/hyperlink" Target="https://www.ospar.org/" TargetMode="External"/><Relationship Id="rId10" Type="http://schemas.openxmlformats.org/officeDocument/2006/relationships/hyperlink" Target="http://www.statisticsauthority.gov.uk/assessment/code-of-practice/index.html" TargetMode="External"/><Relationship Id="rId19" Type="http://schemas.openxmlformats.org/officeDocument/2006/relationships/chart" Target="charts/chart5.xml"/><Relationship Id="rId31" Type="http://schemas.openxmlformats.org/officeDocument/2006/relationships/hyperlink" Target="http://www.unece.org/env/pp/prtr.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RI.Administration@sepa.org.uk" TargetMode="External"/><Relationship Id="rId14" Type="http://schemas.openxmlformats.org/officeDocument/2006/relationships/hyperlink" Target="https://eur-lex.europa.eu/legal-content/en/TXT/?uri=CELEX:32006L0012" TargetMode="External"/><Relationship Id="rId22" Type="http://schemas.openxmlformats.org/officeDocument/2006/relationships/hyperlink" Target="https://eur-lex.europa.eu/legal-content/EN/TXT/?uri=LEGISSUM%3Al28149)." TargetMode="External"/><Relationship Id="rId27" Type="http://schemas.openxmlformats.org/officeDocument/2006/relationships/hyperlink" Target="http://prtr.ec.europa.eu/" TargetMode="External"/><Relationship Id="rId30" Type="http://schemas.openxmlformats.org/officeDocument/2006/relationships/hyperlink" Target="http://www.oecd.org/env/ehs/pollutant-release-transfer-register/oecdandpollutantreleaseandtransferregistersprtrs.htm" TargetMode="External"/><Relationship Id="rId35" Type="http://schemas.openxmlformats.org/officeDocument/2006/relationships/hyperlink" Target="https://unfccc.int/process-and-meetings/the-convention/what-is-the-united-nations-framework-convention-on-climate-change"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Carbon dioxide (kg)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'GHG 10 years'!$X$5</c:f>
              <c:strCache>
                <c:ptCount val="1"/>
                <c:pt idx="0">
                  <c:v>Carbon dioxide</c:v>
                </c:pt>
              </c:strCache>
            </c:strRef>
          </c:tx>
          <c:spPr>
            <a:solidFill>
              <a:srgbClr val="00B0F0"/>
            </a:solidFill>
            <a:ln>
              <a:noFill/>
            </a:ln>
            <a:effectLst/>
          </c:spPr>
          <c:invertIfNegative val="0"/>
          <c:dLbls>
            <c:dLbl>
              <c:idx val="2"/>
              <c:layout>
                <c:manualLayout>
                  <c:x val="0"/>
                  <c:y val="-5.71939231456658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C4C-4EA9-817B-8693887E4303}"/>
                </c:ext>
              </c:extLst>
            </c:dLbl>
            <c:dLbl>
              <c:idx val="6"/>
              <c:layout>
                <c:manualLayout>
                  <c:x val="0"/>
                  <c:y val="-5.00446827524575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4C-4EA9-817B-8693887E4303}"/>
                </c:ext>
              </c:extLst>
            </c:dLbl>
            <c:dLbl>
              <c:idx val="8"/>
              <c:layout>
                <c:manualLayout>
                  <c:x val="-1.4013469556696953E-16"/>
                  <c:y val="-6.434316353887406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C4C-4EA9-817B-8693887E43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'GHG 10 years'!$Y$4:$AH$4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'GHG 10 years'!$Y$5:$AH$5</c:f>
              <c:numCache>
                <c:formatCode>#,##0</c:formatCode>
                <c:ptCount val="10"/>
                <c:pt idx="0">
                  <c:v>26384456678</c:v>
                </c:pt>
                <c:pt idx="1">
                  <c:v>22544490949</c:v>
                </c:pt>
                <c:pt idx="2">
                  <c:v>22984923683</c:v>
                </c:pt>
                <c:pt idx="3">
                  <c:v>21166495017</c:v>
                </c:pt>
                <c:pt idx="4">
                  <c:v>19204496971</c:v>
                </c:pt>
                <c:pt idx="5">
                  <c:v>17368829321</c:v>
                </c:pt>
                <c:pt idx="6">
                  <c:v>12460891832</c:v>
                </c:pt>
                <c:pt idx="7">
                  <c:v>11529114447</c:v>
                </c:pt>
                <c:pt idx="8">
                  <c:v>11849079760</c:v>
                </c:pt>
                <c:pt idx="9">
                  <c:v>11293145941</c:v>
                </c:pt>
              </c:numCache>
            </c:numRef>
          </c:val>
          <c:extLst>
            <c:ext xmlns:c16="http://schemas.microsoft.com/office/drawing/2014/chart" uri="{C3380CC4-5D6E-409C-BE32-E72D297353CC}">
              <c16:uniqueId val="{00000003-DC4C-4EA9-817B-8693887E4303}"/>
            </c:ext>
          </c:extLst>
        </c:ser>
        <c:dLbls>
          <c:dLblPos val="outEnd"/>
          <c:showLegendKey val="0"/>
          <c:showVal val="1"/>
          <c:showCatName val="0"/>
          <c:showSerName val="0"/>
          <c:showPercent val="0"/>
          <c:showBubbleSize val="0"/>
        </c:dLbls>
        <c:gapWidth val="219"/>
        <c:overlap val="-27"/>
        <c:axId val="504740064"/>
        <c:axId val="661821888"/>
        <c:extLst>
          <c:ext xmlns:c15="http://schemas.microsoft.com/office/drawing/2012/chart" uri="{02D57815-91ED-43cb-92C2-25804820EDAC}">
            <c15:filteredBarSeries>
              <c15:ser>
                <c:idx val="1"/>
                <c:order val="1"/>
                <c:tx>
                  <c:strRef>
                    <c:extLst>
                      <c:ext uri="{02D57815-91ED-43cb-92C2-25804820EDAC}">
                        <c15:formulaRef>
                          <c15:sqref>'GHG 10 years'!$X$7</c15:sqref>
                        </c15:formulaRef>
                      </c:ext>
                    </c:extLst>
                    <c:strCache>
                      <c:ptCount val="1"/>
                      <c:pt idx="0">
                        <c:v>Methane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'GHG 10 years'!$Y$7:$AH$7</c15:sqref>
                        </c15:formulaRef>
                      </c:ext>
                    </c:extLst>
                    <c:numCache>
                      <c:formatCode>#,##0</c:formatCode>
                      <c:ptCount val="10"/>
                      <c:pt idx="0">
                        <c:v>47912442</c:v>
                      </c:pt>
                      <c:pt idx="1">
                        <c:v>48160452</c:v>
                      </c:pt>
                      <c:pt idx="2">
                        <c:v>47925218</c:v>
                      </c:pt>
                      <c:pt idx="3">
                        <c:v>47109802</c:v>
                      </c:pt>
                      <c:pt idx="4">
                        <c:v>42705884</c:v>
                      </c:pt>
                      <c:pt idx="5">
                        <c:v>38133819</c:v>
                      </c:pt>
                      <c:pt idx="6">
                        <c:v>34960168</c:v>
                      </c:pt>
                      <c:pt idx="7">
                        <c:v>32539814</c:v>
                      </c:pt>
                      <c:pt idx="8">
                        <c:v>27878368</c:v>
                      </c:pt>
                      <c:pt idx="9">
                        <c:v>26777357</c:v>
                      </c:pt>
                    </c:numCache>
                  </c:numRef>
                </c:val>
                <c:extLst>
                  <c:ext xmlns:c16="http://schemas.microsoft.com/office/drawing/2014/chart" uri="{C3380CC4-5D6E-409C-BE32-E72D297353CC}">
                    <c16:uniqueId val="{00000004-DC4C-4EA9-817B-8693887E430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'GHG 10 years'!$X$8</c15:sqref>
                        </c15:formulaRef>
                      </c:ext>
                    </c:extLst>
                    <c:strCache>
                      <c:ptCount val="1"/>
                      <c:pt idx="0">
                        <c:v>Nitrous oxide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years'!$Y$8:$AH$8</c15:sqref>
                        </c15:formulaRef>
                      </c:ext>
                    </c:extLst>
                    <c:numCache>
                      <c:formatCode>#,##0</c:formatCode>
                      <c:ptCount val="10"/>
                      <c:pt idx="0">
                        <c:v>250912</c:v>
                      </c:pt>
                      <c:pt idx="1">
                        <c:v>185429</c:v>
                      </c:pt>
                      <c:pt idx="2">
                        <c:v>195109</c:v>
                      </c:pt>
                      <c:pt idx="3">
                        <c:v>161230</c:v>
                      </c:pt>
                      <c:pt idx="4">
                        <c:v>171467</c:v>
                      </c:pt>
                      <c:pt idx="5">
                        <c:v>160544</c:v>
                      </c:pt>
                      <c:pt idx="6">
                        <c:v>131144</c:v>
                      </c:pt>
                      <c:pt idx="7">
                        <c:v>96170</c:v>
                      </c:pt>
                      <c:pt idx="8">
                        <c:v>89846</c:v>
                      </c:pt>
                      <c:pt idx="9">
                        <c:v>96543</c:v>
                      </c:pt>
                    </c:numCache>
                  </c:numRef>
                </c:val>
                <c:extLst xmlns:c15="http://schemas.microsoft.com/office/drawing/2012/chart">
                  <c:ext xmlns:c16="http://schemas.microsoft.com/office/drawing/2014/chart" uri="{C3380CC4-5D6E-409C-BE32-E72D297353CC}">
                    <c16:uniqueId val="{00000005-DC4C-4EA9-817B-8693887E430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'GHG 10 years'!$X$9</c15:sqref>
                        </c15:formulaRef>
                      </c:ext>
                    </c:extLst>
                    <c:strCache>
                      <c:ptCount val="1"/>
                      <c:pt idx="0">
                        <c:v>Hydrofluorocarbons (HFCs)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years'!$Y$9:$AH$9</c15:sqref>
                        </c15:formulaRef>
                      </c:ext>
                    </c:extLst>
                    <c:numCache>
                      <c:formatCode>#,##0</c:formatCode>
                      <c:ptCount val="10"/>
                      <c:pt idx="0">
                        <c:v>1465</c:v>
                      </c:pt>
                      <c:pt idx="1">
                        <c:v>2145</c:v>
                      </c:pt>
                      <c:pt idx="2">
                        <c:v>2636</c:v>
                      </c:pt>
                      <c:pt idx="3">
                        <c:v>3780</c:v>
                      </c:pt>
                      <c:pt idx="4">
                        <c:v>1842</c:v>
                      </c:pt>
                      <c:pt idx="5">
                        <c:v>2489</c:v>
                      </c:pt>
                      <c:pt idx="6">
                        <c:v>1734</c:v>
                      </c:pt>
                      <c:pt idx="7">
                        <c:v>1048</c:v>
                      </c:pt>
                      <c:pt idx="8">
                        <c:v>3513</c:v>
                      </c:pt>
                      <c:pt idx="9">
                        <c:v>1263</c:v>
                      </c:pt>
                    </c:numCache>
                  </c:numRef>
                </c:val>
                <c:extLst xmlns:c15="http://schemas.microsoft.com/office/drawing/2012/chart">
                  <c:ext xmlns:c16="http://schemas.microsoft.com/office/drawing/2014/chart" uri="{C3380CC4-5D6E-409C-BE32-E72D297353CC}">
                    <c16:uniqueId val="{00000006-DC4C-4EA9-817B-8693887E430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'GHG 10 years'!$X$10</c15:sqref>
                        </c15:formulaRef>
                      </c:ext>
                    </c:extLst>
                    <c:strCache>
                      <c:ptCount val="1"/>
                      <c:pt idx="0">
                        <c:v>Perfluorocarbons (PFCs)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years'!$Y$10:$AH$10</c15:sqref>
                        </c15:formulaRef>
                      </c:ext>
                    </c:extLst>
                    <c:numCache>
                      <c:formatCode>#,##0</c:formatCode>
                      <c:ptCount val="10"/>
                      <c:pt idx="0">
                        <c:v>1604</c:v>
                      </c:pt>
                      <c:pt idx="1">
                        <c:v>2861</c:v>
                      </c:pt>
                      <c:pt idx="2">
                        <c:v>3090</c:v>
                      </c:pt>
                      <c:pt idx="3">
                        <c:v>4287</c:v>
                      </c:pt>
                      <c:pt idx="4">
                        <c:v>8443</c:v>
                      </c:pt>
                      <c:pt idx="5">
                        <c:v>4130</c:v>
                      </c:pt>
                      <c:pt idx="6">
                        <c:v>4510</c:v>
                      </c:pt>
                      <c:pt idx="7">
                        <c:v>4355</c:v>
                      </c:pt>
                      <c:pt idx="8">
                        <c:v>4418</c:v>
                      </c:pt>
                      <c:pt idx="9">
                        <c:v>3945</c:v>
                      </c:pt>
                    </c:numCache>
                  </c:numRef>
                </c:val>
                <c:extLst xmlns:c15="http://schemas.microsoft.com/office/drawing/2012/chart">
                  <c:ext xmlns:c16="http://schemas.microsoft.com/office/drawing/2014/chart" uri="{C3380CC4-5D6E-409C-BE32-E72D297353CC}">
                    <c16:uniqueId val="{00000007-DC4C-4EA9-817B-8693887E430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'GHG 10 years'!$X$11</c15:sqref>
                        </c15:formulaRef>
                      </c:ext>
                    </c:extLst>
                    <c:strCache>
                      <c:ptCount val="1"/>
                      <c:pt idx="0">
                        <c:v>Sulphur hexafluoride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years'!$Y$11:$AH$11</c15:sqref>
                        </c15:formulaRef>
                      </c:ext>
                    </c:extLst>
                    <c:numCache>
                      <c:formatCode>General</c:formatCode>
                      <c:ptCount val="10"/>
                      <c:pt idx="0">
                        <c:v>207</c:v>
                      </c:pt>
                      <c:pt idx="1">
                        <c:v>284</c:v>
                      </c:pt>
                      <c:pt idx="2">
                        <c:v>304</c:v>
                      </c:pt>
                      <c:pt idx="3">
                        <c:v>241</c:v>
                      </c:pt>
                      <c:pt idx="4">
                        <c:v>178</c:v>
                      </c:pt>
                      <c:pt idx="5">
                        <c:v>77</c:v>
                      </c:pt>
                      <c:pt idx="6">
                        <c:v>128</c:v>
                      </c:pt>
                      <c:pt idx="7">
                        <c:v>134</c:v>
                      </c:pt>
                      <c:pt idx="8">
                        <c:v>107</c:v>
                      </c:pt>
                      <c:pt idx="9">
                        <c:v>221</c:v>
                      </c:pt>
                    </c:numCache>
                  </c:numRef>
                </c:val>
                <c:extLst xmlns:c15="http://schemas.microsoft.com/office/drawing/2012/chart">
                  <c:ext xmlns:c16="http://schemas.microsoft.com/office/drawing/2014/chart" uri="{C3380CC4-5D6E-409C-BE32-E72D297353CC}">
                    <c16:uniqueId val="{00000008-DC4C-4EA9-817B-8693887E430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'GHG 10 years'!$X$12</c15:sqref>
                        </c15:formulaRef>
                      </c:ext>
                    </c:extLst>
                    <c:strCache>
                      <c:ptCount val="1"/>
                      <c:pt idx="0">
                        <c:v>Total GHGs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years'!$Y$12:$AH$12</c15:sqref>
                        </c15:formulaRef>
                      </c:ext>
                    </c:extLst>
                    <c:numCache>
                      <c:formatCode>#,##0</c:formatCode>
                      <c:ptCount val="10"/>
                      <c:pt idx="0">
                        <c:v>26432623308</c:v>
                      </c:pt>
                      <c:pt idx="1">
                        <c:v>22592842120</c:v>
                      </c:pt>
                      <c:pt idx="2">
                        <c:v>23033050040</c:v>
                      </c:pt>
                      <c:pt idx="3">
                        <c:v>21213774357</c:v>
                      </c:pt>
                      <c:pt idx="4">
                        <c:v>19247384785</c:v>
                      </c:pt>
                      <c:pt idx="5">
                        <c:v>17407130381</c:v>
                      </c:pt>
                      <c:pt idx="6">
                        <c:v>12495989516</c:v>
                      </c:pt>
                      <c:pt idx="7">
                        <c:v>11561755968</c:v>
                      </c:pt>
                      <c:pt idx="8">
                        <c:v>11877056012</c:v>
                      </c:pt>
                      <c:pt idx="9">
                        <c:v>11320036563.145941</c:v>
                      </c:pt>
                    </c:numCache>
                  </c:numRef>
                </c:val>
                <c:extLst xmlns:c15="http://schemas.microsoft.com/office/drawing/2012/chart">
                  <c:ext xmlns:c16="http://schemas.microsoft.com/office/drawing/2014/chart" uri="{C3380CC4-5D6E-409C-BE32-E72D297353CC}">
                    <c16:uniqueId val="{00000009-DC4C-4EA9-817B-8693887E4303}"/>
                  </c:ext>
                </c:extLst>
              </c15:ser>
            </c15:filteredBarSeries>
          </c:ext>
        </c:extLst>
      </c:barChart>
      <c:catAx>
        <c:axId val="50474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821888"/>
        <c:crosses val="autoZero"/>
        <c:auto val="1"/>
        <c:lblAlgn val="ctr"/>
        <c:lblOffset val="100"/>
        <c:noMultiLvlLbl val="0"/>
      </c:catAx>
      <c:valAx>
        <c:axId val="66182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4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 2 &amp; 3'!$B$4</c:f>
              <c:strCache>
                <c:ptCount val="1"/>
                <c:pt idx="0">
                  <c:v>2010</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 &amp; 3'!$A$5:$A$13</c:f>
              <c:strCache>
                <c:ptCount val="9"/>
                <c:pt idx="0">
                  <c:v>1 - Energy sector</c:v>
                </c:pt>
                <c:pt idx="1">
                  <c:v>2 - Production and processing of metals</c:v>
                </c:pt>
                <c:pt idx="2">
                  <c:v>3 - Mineral industry</c:v>
                </c:pt>
                <c:pt idx="3">
                  <c:v>4 - Chemical industry</c:v>
                </c:pt>
                <c:pt idx="4">
                  <c:v>5 - Waste and waste-water management</c:v>
                </c:pt>
                <c:pt idx="5">
                  <c:v>6 - Paper and wood production and processing</c:v>
                </c:pt>
                <c:pt idx="6">
                  <c:v>7 - Intensive livestock production and aquaculture</c:v>
                </c:pt>
                <c:pt idx="7">
                  <c:v>8 - Animal and vegetable products from the food and beverage sector</c:v>
                </c:pt>
                <c:pt idx="8">
                  <c:v>9 - Other activities</c:v>
                </c:pt>
              </c:strCache>
            </c:strRef>
          </c:cat>
          <c:val>
            <c:numRef>
              <c:f>'Fig 2 &amp; 3'!$B$5:$B$13</c:f>
              <c:numCache>
                <c:formatCode>#,##0</c:formatCode>
                <c:ptCount val="9"/>
                <c:pt idx="0">
                  <c:v>22546.439241</c:v>
                </c:pt>
                <c:pt idx="1">
                  <c:v>124.719655</c:v>
                </c:pt>
                <c:pt idx="2">
                  <c:v>778.87437599999998</c:v>
                </c:pt>
                <c:pt idx="3">
                  <c:v>352.71143999999998</c:v>
                </c:pt>
                <c:pt idx="4">
                  <c:v>1187.1997960000001</c:v>
                </c:pt>
                <c:pt idx="5">
                  <c:v>1030.720675</c:v>
                </c:pt>
                <c:pt idx="6">
                  <c:v>0</c:v>
                </c:pt>
                <c:pt idx="7">
                  <c:v>330.83997499999998</c:v>
                </c:pt>
                <c:pt idx="8">
                  <c:v>11.985519999999999</c:v>
                </c:pt>
              </c:numCache>
            </c:numRef>
          </c:val>
          <c:extLst>
            <c:ext xmlns:c16="http://schemas.microsoft.com/office/drawing/2014/chart" uri="{C3380CC4-5D6E-409C-BE32-E72D297353CC}">
              <c16:uniqueId val="{00000000-325B-4561-B36E-EA2ABD99E80D}"/>
            </c:ext>
          </c:extLst>
        </c:ser>
        <c:ser>
          <c:idx val="1"/>
          <c:order val="1"/>
          <c:tx>
            <c:strRef>
              <c:f>'Fig 2 &amp; 3'!$C$4</c:f>
              <c:strCache>
                <c:ptCount val="1"/>
                <c:pt idx="0">
                  <c:v>2019</c:v>
                </c:pt>
              </c:strCache>
            </c:strRef>
          </c:tx>
          <c:spPr>
            <a:solidFill>
              <a:schemeClr val="accent1">
                <a:lumMod val="75000"/>
              </a:schemeClr>
            </a:solidFill>
            <a:ln>
              <a:noFill/>
            </a:ln>
            <a:effectLst/>
          </c:spPr>
          <c:invertIfNegative val="0"/>
          <c:dLbls>
            <c:dLbl>
              <c:idx val="1"/>
              <c:layout>
                <c:manualLayout>
                  <c:x val="0"/>
                  <c:y val="-5.74162679425837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FEB-4FDC-A069-7479B12A3512}"/>
                </c:ext>
              </c:extLst>
            </c:dLbl>
            <c:dLbl>
              <c:idx val="2"/>
              <c:layout>
                <c:manualLayout>
                  <c:x val="0"/>
                  <c:y val="-4.78468899521531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FEB-4FDC-A069-7479B12A3512}"/>
                </c:ext>
              </c:extLst>
            </c:dLbl>
            <c:dLbl>
              <c:idx val="3"/>
              <c:layout>
                <c:manualLayout>
                  <c:x val="0"/>
                  <c:y val="-5.10366826156299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FEB-4FDC-A069-7479B12A3512}"/>
                </c:ext>
              </c:extLst>
            </c:dLbl>
            <c:dLbl>
              <c:idx val="4"/>
              <c:layout>
                <c:manualLayout>
                  <c:x val="0"/>
                  <c:y val="-6.379585326953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FEB-4FDC-A069-7479B12A3512}"/>
                </c:ext>
              </c:extLst>
            </c:dLbl>
            <c:dLbl>
              <c:idx val="5"/>
              <c:layout>
                <c:manualLayout>
                  <c:x val="0"/>
                  <c:y val="-5.74162679425837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FEB-4FDC-A069-7479B12A3512}"/>
                </c:ext>
              </c:extLst>
            </c:dLbl>
            <c:dLbl>
              <c:idx val="7"/>
              <c:layout>
                <c:manualLayout>
                  <c:x val="0"/>
                  <c:y val="-5.74162679425838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FEB-4FDC-A069-7479B12A3512}"/>
                </c:ext>
              </c:extLst>
            </c:dLbl>
            <c:spPr>
              <a:solidFill>
                <a:sysClr val="window" lastClr="FFFFFF"/>
              </a:solidFill>
              <a:ln>
                <a:solidFill>
                  <a:srgbClr val="5B9BD5"/>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2 &amp; 3'!$A$5:$A$13</c:f>
              <c:strCache>
                <c:ptCount val="9"/>
                <c:pt idx="0">
                  <c:v>1 - Energy sector</c:v>
                </c:pt>
                <c:pt idx="1">
                  <c:v>2 - Production and processing of metals</c:v>
                </c:pt>
                <c:pt idx="2">
                  <c:v>3 - Mineral industry</c:v>
                </c:pt>
                <c:pt idx="3">
                  <c:v>4 - Chemical industry</c:v>
                </c:pt>
                <c:pt idx="4">
                  <c:v>5 - Waste and waste-water management</c:v>
                </c:pt>
                <c:pt idx="5">
                  <c:v>6 - Paper and wood production and processing</c:v>
                </c:pt>
                <c:pt idx="6">
                  <c:v>7 - Intensive livestock production and aquaculture</c:v>
                </c:pt>
                <c:pt idx="7">
                  <c:v>8 - Animal and vegetable products from the food and beverage sector</c:v>
                </c:pt>
                <c:pt idx="8">
                  <c:v>9 - Other activities</c:v>
                </c:pt>
              </c:strCache>
            </c:strRef>
          </c:cat>
          <c:val>
            <c:numRef>
              <c:f>'Fig 2 &amp; 3'!$C$5:$C$13</c:f>
              <c:numCache>
                <c:formatCode>#,##0</c:formatCode>
                <c:ptCount val="9"/>
                <c:pt idx="0">
                  <c:v>6594.0754790000001</c:v>
                </c:pt>
                <c:pt idx="1">
                  <c:v>78.402134000000004</c:v>
                </c:pt>
                <c:pt idx="2">
                  <c:v>827.41188099999999</c:v>
                </c:pt>
                <c:pt idx="3">
                  <c:v>720.05638999999996</c:v>
                </c:pt>
                <c:pt idx="4">
                  <c:v>2094.4566960000002</c:v>
                </c:pt>
                <c:pt idx="5">
                  <c:v>673.43235700000002</c:v>
                </c:pt>
                <c:pt idx="6">
                  <c:v>0</c:v>
                </c:pt>
                <c:pt idx="7">
                  <c:v>293.86807700000003</c:v>
                </c:pt>
                <c:pt idx="8">
                  <c:v>11.442926999999999</c:v>
                </c:pt>
              </c:numCache>
            </c:numRef>
          </c:val>
          <c:extLst>
            <c:ext xmlns:c16="http://schemas.microsoft.com/office/drawing/2014/chart" uri="{C3380CC4-5D6E-409C-BE32-E72D297353CC}">
              <c16:uniqueId val="{00000001-325B-4561-B36E-EA2ABD99E80D}"/>
            </c:ext>
          </c:extLst>
        </c:ser>
        <c:dLbls>
          <c:dLblPos val="outEnd"/>
          <c:showLegendKey val="0"/>
          <c:showVal val="1"/>
          <c:showCatName val="0"/>
          <c:showSerName val="0"/>
          <c:showPercent val="0"/>
          <c:showBubbleSize val="0"/>
        </c:dLbls>
        <c:gapWidth val="219"/>
        <c:overlap val="-27"/>
        <c:axId val="484536216"/>
        <c:axId val="484545072"/>
      </c:barChart>
      <c:catAx>
        <c:axId val="48453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545072"/>
        <c:crosses val="autoZero"/>
        <c:auto val="1"/>
        <c:lblAlgn val="ctr"/>
        <c:lblOffset val="100"/>
        <c:noMultiLvlLbl val="0"/>
      </c:catAx>
      <c:valAx>
        <c:axId val="48454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536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'Fig 2 &amp; 3'!$A$20</c:f>
              <c:strCache>
                <c:ptCount val="1"/>
                <c:pt idx="0">
                  <c:v>1 - Energy sector</c:v>
                </c:pt>
              </c:strCache>
            </c:strRef>
          </c:tx>
          <c:spPr>
            <a:solidFill>
              <a:schemeClr val="accent1"/>
            </a:solidFill>
            <a:ln>
              <a:noFill/>
            </a:ln>
            <a:effectLst/>
          </c:spPr>
          <c:invertIfNegative val="0"/>
          <c:cat>
            <c:numRef>
              <c:f>'Fig 2 &amp; 3'!$B$19:$C$19</c:f>
              <c:numCache>
                <c:formatCode>General</c:formatCode>
                <c:ptCount val="2"/>
                <c:pt idx="0">
                  <c:v>2010</c:v>
                </c:pt>
                <c:pt idx="1">
                  <c:v>2019</c:v>
                </c:pt>
              </c:numCache>
            </c:numRef>
          </c:cat>
          <c:val>
            <c:numRef>
              <c:f>'Fig 2 &amp; 3'!$B$20:$C$20</c:f>
              <c:numCache>
                <c:formatCode>0.0%</c:formatCode>
                <c:ptCount val="2"/>
                <c:pt idx="0">
                  <c:v>0.85521449023496421</c:v>
                </c:pt>
                <c:pt idx="1">
                  <c:v>0.58390066979122901</c:v>
                </c:pt>
              </c:numCache>
            </c:numRef>
          </c:val>
          <c:extLst>
            <c:ext xmlns:c16="http://schemas.microsoft.com/office/drawing/2014/chart" uri="{C3380CC4-5D6E-409C-BE32-E72D297353CC}">
              <c16:uniqueId val="{00000000-1DE8-45A4-9361-B01B03610947}"/>
            </c:ext>
          </c:extLst>
        </c:ser>
        <c:ser>
          <c:idx val="1"/>
          <c:order val="1"/>
          <c:tx>
            <c:strRef>
              <c:f>'Fig 2 &amp; 3'!$A$21</c:f>
              <c:strCache>
                <c:ptCount val="1"/>
                <c:pt idx="0">
                  <c:v>2 - Production and processing of metals</c:v>
                </c:pt>
              </c:strCache>
            </c:strRef>
          </c:tx>
          <c:spPr>
            <a:solidFill>
              <a:schemeClr val="accent2"/>
            </a:solidFill>
            <a:ln>
              <a:noFill/>
            </a:ln>
            <a:effectLst/>
          </c:spPr>
          <c:invertIfNegative val="0"/>
          <c:cat>
            <c:numRef>
              <c:f>'Fig 2 &amp; 3'!$B$19:$C$19</c:f>
              <c:numCache>
                <c:formatCode>General</c:formatCode>
                <c:ptCount val="2"/>
                <c:pt idx="0">
                  <c:v>2010</c:v>
                </c:pt>
                <c:pt idx="1">
                  <c:v>2019</c:v>
                </c:pt>
              </c:numCache>
            </c:numRef>
          </c:cat>
          <c:val>
            <c:numRef>
              <c:f>'Fig 2 &amp; 3'!$B$21:$C$21</c:f>
              <c:numCache>
                <c:formatCode>0.0%</c:formatCode>
                <c:ptCount val="2"/>
                <c:pt idx="0">
                  <c:v>4.7307716767596708E-3</c:v>
                </c:pt>
                <c:pt idx="1">
                  <c:v>6.9424529187530849E-3</c:v>
                </c:pt>
              </c:numCache>
            </c:numRef>
          </c:val>
          <c:extLst>
            <c:ext xmlns:c16="http://schemas.microsoft.com/office/drawing/2014/chart" uri="{C3380CC4-5D6E-409C-BE32-E72D297353CC}">
              <c16:uniqueId val="{00000001-1DE8-45A4-9361-B01B03610947}"/>
            </c:ext>
          </c:extLst>
        </c:ser>
        <c:ser>
          <c:idx val="2"/>
          <c:order val="2"/>
          <c:tx>
            <c:strRef>
              <c:f>'Fig 2 &amp; 3'!$A$22</c:f>
              <c:strCache>
                <c:ptCount val="1"/>
                <c:pt idx="0">
                  <c:v>3 - Mineral industry</c:v>
                </c:pt>
              </c:strCache>
            </c:strRef>
          </c:tx>
          <c:spPr>
            <a:solidFill>
              <a:schemeClr val="accent3"/>
            </a:solidFill>
            <a:ln>
              <a:noFill/>
            </a:ln>
            <a:effectLst/>
          </c:spPr>
          <c:invertIfNegative val="0"/>
          <c:cat>
            <c:numRef>
              <c:f>'Fig 2 &amp; 3'!$B$19:$C$19</c:f>
              <c:numCache>
                <c:formatCode>General</c:formatCode>
                <c:ptCount val="2"/>
                <c:pt idx="0">
                  <c:v>2010</c:v>
                </c:pt>
                <c:pt idx="1">
                  <c:v>2019</c:v>
                </c:pt>
              </c:numCache>
            </c:numRef>
          </c:cat>
          <c:val>
            <c:numRef>
              <c:f>'Fig 2 &amp; 3'!$B$22:$C$22</c:f>
              <c:numCache>
                <c:formatCode>0.0%</c:formatCode>
                <c:ptCount val="2"/>
                <c:pt idx="0">
                  <c:v>2.9543674072339779E-2</c:v>
                </c:pt>
                <c:pt idx="1">
                  <c:v>7.3266730574698763E-2</c:v>
                </c:pt>
              </c:numCache>
            </c:numRef>
          </c:val>
          <c:extLst>
            <c:ext xmlns:c16="http://schemas.microsoft.com/office/drawing/2014/chart" uri="{C3380CC4-5D6E-409C-BE32-E72D297353CC}">
              <c16:uniqueId val="{00000002-1DE8-45A4-9361-B01B03610947}"/>
            </c:ext>
          </c:extLst>
        </c:ser>
        <c:ser>
          <c:idx val="3"/>
          <c:order val="3"/>
          <c:tx>
            <c:strRef>
              <c:f>'Fig 2 &amp; 3'!$A$23</c:f>
              <c:strCache>
                <c:ptCount val="1"/>
                <c:pt idx="0">
                  <c:v>4 - Chemical industry</c:v>
                </c:pt>
              </c:strCache>
            </c:strRef>
          </c:tx>
          <c:spPr>
            <a:solidFill>
              <a:schemeClr val="accent4"/>
            </a:solidFill>
            <a:ln>
              <a:noFill/>
            </a:ln>
            <a:effectLst/>
          </c:spPr>
          <c:invertIfNegative val="0"/>
          <c:cat>
            <c:numRef>
              <c:f>'Fig 2 &amp; 3'!$B$19:$C$19</c:f>
              <c:numCache>
                <c:formatCode>General</c:formatCode>
                <c:ptCount val="2"/>
                <c:pt idx="0">
                  <c:v>2010</c:v>
                </c:pt>
                <c:pt idx="1">
                  <c:v>2019</c:v>
                </c:pt>
              </c:numCache>
            </c:numRef>
          </c:cat>
          <c:val>
            <c:numRef>
              <c:f>'Fig 2 &amp; 3'!$B$23:$C$23</c:f>
              <c:numCache>
                <c:formatCode>0.0%</c:formatCode>
                <c:ptCount val="2"/>
                <c:pt idx="0">
                  <c:v>1.3378783724354576E-2</c:v>
                </c:pt>
                <c:pt idx="1">
                  <c:v>6.3760478591339223E-2</c:v>
                </c:pt>
              </c:numCache>
            </c:numRef>
          </c:val>
          <c:extLst>
            <c:ext xmlns:c16="http://schemas.microsoft.com/office/drawing/2014/chart" uri="{C3380CC4-5D6E-409C-BE32-E72D297353CC}">
              <c16:uniqueId val="{00000003-1DE8-45A4-9361-B01B03610947}"/>
            </c:ext>
          </c:extLst>
        </c:ser>
        <c:ser>
          <c:idx val="4"/>
          <c:order val="4"/>
          <c:tx>
            <c:strRef>
              <c:f>'Fig 2 &amp; 3'!$A$24</c:f>
              <c:strCache>
                <c:ptCount val="1"/>
                <c:pt idx="0">
                  <c:v>5 - Waste and waste-water management</c:v>
                </c:pt>
              </c:strCache>
            </c:strRef>
          </c:tx>
          <c:spPr>
            <a:solidFill>
              <a:schemeClr val="accent5"/>
            </a:solidFill>
            <a:ln>
              <a:noFill/>
            </a:ln>
            <a:effectLst/>
          </c:spPr>
          <c:invertIfNegative val="0"/>
          <c:cat>
            <c:numRef>
              <c:f>'Fig 2 &amp; 3'!$B$19:$C$19</c:f>
              <c:numCache>
                <c:formatCode>General</c:formatCode>
                <c:ptCount val="2"/>
                <c:pt idx="0">
                  <c:v>2010</c:v>
                </c:pt>
                <c:pt idx="1">
                  <c:v>2019</c:v>
                </c:pt>
              </c:numCache>
            </c:numRef>
          </c:cat>
          <c:val>
            <c:numRef>
              <c:f>'Fig 2 &amp; 3'!$B$24:$C$24</c:f>
              <c:numCache>
                <c:formatCode>0.0%</c:formatCode>
                <c:ptCount val="2"/>
                <c:pt idx="0">
                  <c:v>4.503196524695053E-2</c:v>
                </c:pt>
                <c:pt idx="1">
                  <c:v>0.18546264317686995</c:v>
                </c:pt>
              </c:numCache>
            </c:numRef>
          </c:val>
          <c:extLst>
            <c:ext xmlns:c16="http://schemas.microsoft.com/office/drawing/2014/chart" uri="{C3380CC4-5D6E-409C-BE32-E72D297353CC}">
              <c16:uniqueId val="{00000004-1DE8-45A4-9361-B01B03610947}"/>
            </c:ext>
          </c:extLst>
        </c:ser>
        <c:ser>
          <c:idx val="5"/>
          <c:order val="5"/>
          <c:tx>
            <c:strRef>
              <c:f>'Fig 2 &amp; 3'!$A$25</c:f>
              <c:strCache>
                <c:ptCount val="1"/>
                <c:pt idx="0">
                  <c:v>6 - Paper and wood production and processing</c:v>
                </c:pt>
              </c:strCache>
            </c:strRef>
          </c:tx>
          <c:spPr>
            <a:solidFill>
              <a:schemeClr val="accent6"/>
            </a:solidFill>
            <a:ln>
              <a:noFill/>
            </a:ln>
            <a:effectLst/>
          </c:spPr>
          <c:invertIfNegative val="0"/>
          <c:cat>
            <c:numRef>
              <c:f>'Fig 2 &amp; 3'!$B$19:$C$19</c:f>
              <c:numCache>
                <c:formatCode>General</c:formatCode>
                <c:ptCount val="2"/>
                <c:pt idx="0">
                  <c:v>2010</c:v>
                </c:pt>
                <c:pt idx="1">
                  <c:v>2019</c:v>
                </c:pt>
              </c:numCache>
            </c:numRef>
          </c:cat>
          <c:val>
            <c:numRef>
              <c:f>'Fig 2 &amp; 3'!$B$25:$C$25</c:f>
              <c:numCache>
                <c:formatCode>0.0%</c:formatCode>
                <c:ptCount val="2"/>
                <c:pt idx="0">
                  <c:v>3.9096517513142651E-2</c:v>
                </c:pt>
                <c:pt idx="1">
                  <c:v>5.9631953799081781E-2</c:v>
                </c:pt>
              </c:numCache>
            </c:numRef>
          </c:val>
          <c:extLst>
            <c:ext xmlns:c16="http://schemas.microsoft.com/office/drawing/2014/chart" uri="{C3380CC4-5D6E-409C-BE32-E72D297353CC}">
              <c16:uniqueId val="{00000005-1DE8-45A4-9361-B01B03610947}"/>
            </c:ext>
          </c:extLst>
        </c:ser>
        <c:ser>
          <c:idx val="6"/>
          <c:order val="6"/>
          <c:tx>
            <c:strRef>
              <c:f>'Fig 2 &amp; 3'!$A$26</c:f>
              <c:strCache>
                <c:ptCount val="1"/>
                <c:pt idx="0">
                  <c:v>7 - Intensive livestock production and aquaculture</c:v>
                </c:pt>
              </c:strCache>
            </c:strRef>
          </c:tx>
          <c:spPr>
            <a:solidFill>
              <a:schemeClr val="accent1">
                <a:lumMod val="60000"/>
              </a:schemeClr>
            </a:solidFill>
            <a:ln>
              <a:noFill/>
            </a:ln>
            <a:effectLst/>
          </c:spPr>
          <c:invertIfNegative val="0"/>
          <c:cat>
            <c:numRef>
              <c:f>'Fig 2 &amp; 3'!$B$19:$C$19</c:f>
              <c:numCache>
                <c:formatCode>General</c:formatCode>
                <c:ptCount val="2"/>
                <c:pt idx="0">
                  <c:v>2010</c:v>
                </c:pt>
                <c:pt idx="1">
                  <c:v>2019</c:v>
                </c:pt>
              </c:numCache>
            </c:numRef>
          </c:cat>
          <c:val>
            <c:numRef>
              <c:f>'Fig 2 &amp; 3'!$B$26:$C$26</c:f>
              <c:numCache>
                <c:formatCode>0.0%</c:formatCode>
                <c:ptCount val="2"/>
                <c:pt idx="0">
                  <c:v>0</c:v>
                </c:pt>
                <c:pt idx="1">
                  <c:v>0</c:v>
                </c:pt>
              </c:numCache>
            </c:numRef>
          </c:val>
          <c:extLst>
            <c:ext xmlns:c16="http://schemas.microsoft.com/office/drawing/2014/chart" uri="{C3380CC4-5D6E-409C-BE32-E72D297353CC}">
              <c16:uniqueId val="{00000006-1DE8-45A4-9361-B01B03610947}"/>
            </c:ext>
          </c:extLst>
        </c:ser>
        <c:ser>
          <c:idx val="7"/>
          <c:order val="7"/>
          <c:tx>
            <c:strRef>
              <c:f>'Fig 2 &amp; 3'!$A$27</c:f>
              <c:strCache>
                <c:ptCount val="1"/>
                <c:pt idx="0">
                  <c:v>8 - Animal and vegetable products from the food and beverage sector</c:v>
                </c:pt>
              </c:strCache>
            </c:strRef>
          </c:tx>
          <c:spPr>
            <a:solidFill>
              <a:schemeClr val="accent2">
                <a:lumMod val="60000"/>
              </a:schemeClr>
            </a:solidFill>
            <a:ln>
              <a:noFill/>
            </a:ln>
            <a:effectLst/>
          </c:spPr>
          <c:invertIfNegative val="0"/>
          <c:cat>
            <c:numRef>
              <c:f>'Fig 2 &amp; 3'!$B$19:$C$19</c:f>
              <c:numCache>
                <c:formatCode>General</c:formatCode>
                <c:ptCount val="2"/>
                <c:pt idx="0">
                  <c:v>2010</c:v>
                </c:pt>
                <c:pt idx="1">
                  <c:v>2019</c:v>
                </c:pt>
              </c:numCache>
            </c:numRef>
          </c:cat>
          <c:val>
            <c:numRef>
              <c:f>'Fig 2 &amp; 3'!$B$27:$C$27</c:f>
              <c:numCache>
                <c:formatCode>0.0%</c:formatCode>
                <c:ptCount val="2"/>
                <c:pt idx="0">
                  <c:v>1.2549171846810172E-2</c:v>
                </c:pt>
                <c:pt idx="1">
                  <c:v>2.6021808142326922E-2</c:v>
                </c:pt>
              </c:numCache>
            </c:numRef>
          </c:val>
          <c:extLst>
            <c:ext xmlns:c16="http://schemas.microsoft.com/office/drawing/2014/chart" uri="{C3380CC4-5D6E-409C-BE32-E72D297353CC}">
              <c16:uniqueId val="{00000007-1DE8-45A4-9361-B01B03610947}"/>
            </c:ext>
          </c:extLst>
        </c:ser>
        <c:ser>
          <c:idx val="8"/>
          <c:order val="8"/>
          <c:tx>
            <c:strRef>
              <c:f>'Fig 2 &amp; 3'!$A$28</c:f>
              <c:strCache>
                <c:ptCount val="1"/>
                <c:pt idx="0">
                  <c:v>9 - Other activities</c:v>
                </c:pt>
              </c:strCache>
            </c:strRef>
          </c:tx>
          <c:spPr>
            <a:solidFill>
              <a:schemeClr val="accent3">
                <a:lumMod val="60000"/>
              </a:schemeClr>
            </a:solidFill>
            <a:ln>
              <a:noFill/>
            </a:ln>
            <a:effectLst/>
          </c:spPr>
          <c:invertIfNegative val="0"/>
          <c:cat>
            <c:numRef>
              <c:f>'Fig 2 &amp; 3'!$B$19:$C$19</c:f>
              <c:numCache>
                <c:formatCode>General</c:formatCode>
                <c:ptCount val="2"/>
                <c:pt idx="0">
                  <c:v>2010</c:v>
                </c:pt>
                <c:pt idx="1">
                  <c:v>2019</c:v>
                </c:pt>
              </c:numCache>
            </c:numRef>
          </c:cat>
          <c:val>
            <c:numRef>
              <c:f>'Fig 2 &amp; 3'!$B$28:$C$28</c:f>
              <c:numCache>
                <c:formatCode>0.0%</c:formatCode>
                <c:ptCount val="2"/>
                <c:pt idx="0">
                  <c:v>4.5462568467846199E-4</c:v>
                </c:pt>
                <c:pt idx="1">
                  <c:v>1.0132630057012029E-3</c:v>
                </c:pt>
              </c:numCache>
            </c:numRef>
          </c:val>
          <c:extLst>
            <c:ext xmlns:c16="http://schemas.microsoft.com/office/drawing/2014/chart" uri="{C3380CC4-5D6E-409C-BE32-E72D297353CC}">
              <c16:uniqueId val="{00000008-1DE8-45A4-9361-B01B03610947}"/>
            </c:ext>
          </c:extLst>
        </c:ser>
        <c:dLbls>
          <c:showLegendKey val="0"/>
          <c:showVal val="0"/>
          <c:showCatName val="0"/>
          <c:showSerName val="0"/>
          <c:showPercent val="0"/>
          <c:showBubbleSize val="0"/>
        </c:dLbls>
        <c:gapWidth val="150"/>
        <c:overlap val="100"/>
        <c:axId val="374971496"/>
        <c:axId val="374972152"/>
      </c:barChart>
      <c:catAx>
        <c:axId val="37497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972152"/>
        <c:crosses val="autoZero"/>
        <c:auto val="1"/>
        <c:lblAlgn val="ctr"/>
        <c:lblOffset val="100"/>
        <c:noMultiLvlLbl val="0"/>
      </c:catAx>
      <c:valAx>
        <c:axId val="3749721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971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Methane (kg)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'GHG 10 years'!$X$7</c:f>
              <c:strCache>
                <c:ptCount val="1"/>
                <c:pt idx="0">
                  <c:v>Methane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'GHG 10 years'!$Y$4:$AH$4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'GHG 10 years'!$Y$7:$AH$7</c:f>
              <c:numCache>
                <c:formatCode>#,##0</c:formatCode>
                <c:ptCount val="10"/>
                <c:pt idx="0">
                  <c:v>47912442</c:v>
                </c:pt>
                <c:pt idx="1">
                  <c:v>48160452</c:v>
                </c:pt>
                <c:pt idx="2">
                  <c:v>47925218</c:v>
                </c:pt>
                <c:pt idx="3">
                  <c:v>47109802</c:v>
                </c:pt>
                <c:pt idx="4">
                  <c:v>42705884</c:v>
                </c:pt>
                <c:pt idx="5">
                  <c:v>38133819</c:v>
                </c:pt>
                <c:pt idx="6">
                  <c:v>34960168</c:v>
                </c:pt>
                <c:pt idx="7">
                  <c:v>32539814</c:v>
                </c:pt>
                <c:pt idx="8">
                  <c:v>27878368</c:v>
                </c:pt>
                <c:pt idx="9">
                  <c:v>26777357</c:v>
                </c:pt>
              </c:numCache>
            </c:numRef>
          </c:val>
          <c:extLst>
            <c:ext xmlns:c16="http://schemas.microsoft.com/office/drawing/2014/chart" uri="{C3380CC4-5D6E-409C-BE32-E72D297353CC}">
              <c16:uniqueId val="{00000000-0210-42AF-8890-D4EA76E2B91F}"/>
            </c:ext>
          </c:extLst>
        </c:ser>
        <c:dLbls>
          <c:dLblPos val="outEnd"/>
          <c:showLegendKey val="0"/>
          <c:showVal val="1"/>
          <c:showCatName val="0"/>
          <c:showSerName val="0"/>
          <c:showPercent val="0"/>
          <c:showBubbleSize val="0"/>
        </c:dLbls>
        <c:gapWidth val="219"/>
        <c:overlap val="-27"/>
        <c:axId val="504740064"/>
        <c:axId val="661821888"/>
        <c:extLst>
          <c:ext xmlns:c15="http://schemas.microsoft.com/office/drawing/2012/chart" uri="{02D57815-91ED-43cb-92C2-25804820EDAC}">
            <c15:filteredBarSeries>
              <c15:ser>
                <c:idx val="0"/>
                <c:order val="0"/>
                <c:tx>
                  <c:strRef>
                    <c:extLst>
                      <c:ext uri="{02D57815-91ED-43cb-92C2-25804820EDAC}">
                        <c15:formulaRef>
                          <c15:sqref>'GHG 10 years'!$X$5</c15:sqref>
                        </c15:formulaRef>
                      </c:ext>
                    </c:extLst>
                    <c:strCache>
                      <c:ptCount val="1"/>
                      <c:pt idx="0">
                        <c:v>Carbon dioxide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'GHG 10 years'!$Y$5:$AH$5</c15:sqref>
                        </c15:formulaRef>
                      </c:ext>
                    </c:extLst>
                    <c:numCache>
                      <c:formatCode>#,##0</c:formatCode>
                      <c:ptCount val="10"/>
                      <c:pt idx="0">
                        <c:v>26384456678</c:v>
                      </c:pt>
                      <c:pt idx="1">
                        <c:v>22544490949</c:v>
                      </c:pt>
                      <c:pt idx="2">
                        <c:v>22984923683</c:v>
                      </c:pt>
                      <c:pt idx="3">
                        <c:v>21166495017</c:v>
                      </c:pt>
                      <c:pt idx="4">
                        <c:v>19204496971</c:v>
                      </c:pt>
                      <c:pt idx="5">
                        <c:v>17368829321</c:v>
                      </c:pt>
                      <c:pt idx="6">
                        <c:v>12460891832</c:v>
                      </c:pt>
                      <c:pt idx="7">
                        <c:v>11529114447</c:v>
                      </c:pt>
                      <c:pt idx="8">
                        <c:v>11849079760</c:v>
                      </c:pt>
                      <c:pt idx="9">
                        <c:v>11293145941</c:v>
                      </c:pt>
                    </c:numCache>
                  </c:numRef>
                </c:val>
                <c:extLst>
                  <c:ext xmlns:c16="http://schemas.microsoft.com/office/drawing/2014/chart" uri="{C3380CC4-5D6E-409C-BE32-E72D297353CC}">
                    <c16:uniqueId val="{00000001-0210-42AF-8890-D4EA76E2B91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'GHG 10 years'!$X$8</c15:sqref>
                        </c15:formulaRef>
                      </c:ext>
                    </c:extLst>
                    <c:strCache>
                      <c:ptCount val="1"/>
                      <c:pt idx="0">
                        <c:v>Nitrous oxide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years'!$Y$8:$AH$8</c15:sqref>
                        </c15:formulaRef>
                      </c:ext>
                    </c:extLst>
                    <c:numCache>
                      <c:formatCode>#,##0</c:formatCode>
                      <c:ptCount val="10"/>
                      <c:pt idx="0">
                        <c:v>250912</c:v>
                      </c:pt>
                      <c:pt idx="1">
                        <c:v>185429</c:v>
                      </c:pt>
                      <c:pt idx="2">
                        <c:v>195109</c:v>
                      </c:pt>
                      <c:pt idx="3">
                        <c:v>161230</c:v>
                      </c:pt>
                      <c:pt idx="4">
                        <c:v>171467</c:v>
                      </c:pt>
                      <c:pt idx="5">
                        <c:v>160544</c:v>
                      </c:pt>
                      <c:pt idx="6">
                        <c:v>131144</c:v>
                      </c:pt>
                      <c:pt idx="7">
                        <c:v>96170</c:v>
                      </c:pt>
                      <c:pt idx="8">
                        <c:v>89846</c:v>
                      </c:pt>
                      <c:pt idx="9">
                        <c:v>96543</c:v>
                      </c:pt>
                    </c:numCache>
                  </c:numRef>
                </c:val>
                <c:extLst xmlns:c15="http://schemas.microsoft.com/office/drawing/2012/chart">
                  <c:ext xmlns:c16="http://schemas.microsoft.com/office/drawing/2014/chart" uri="{C3380CC4-5D6E-409C-BE32-E72D297353CC}">
                    <c16:uniqueId val="{00000002-0210-42AF-8890-D4EA76E2B91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'GHG 10 years'!$X$9</c15:sqref>
                        </c15:formulaRef>
                      </c:ext>
                    </c:extLst>
                    <c:strCache>
                      <c:ptCount val="1"/>
                      <c:pt idx="0">
                        <c:v>Hydrofluorocarbons (HFCs)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years'!$Y$9:$AH$9</c15:sqref>
                        </c15:formulaRef>
                      </c:ext>
                    </c:extLst>
                    <c:numCache>
                      <c:formatCode>#,##0</c:formatCode>
                      <c:ptCount val="10"/>
                      <c:pt idx="0">
                        <c:v>1465</c:v>
                      </c:pt>
                      <c:pt idx="1">
                        <c:v>2145</c:v>
                      </c:pt>
                      <c:pt idx="2">
                        <c:v>2636</c:v>
                      </c:pt>
                      <c:pt idx="3">
                        <c:v>3780</c:v>
                      </c:pt>
                      <c:pt idx="4">
                        <c:v>1842</c:v>
                      </c:pt>
                      <c:pt idx="5">
                        <c:v>2489</c:v>
                      </c:pt>
                      <c:pt idx="6">
                        <c:v>1734</c:v>
                      </c:pt>
                      <c:pt idx="7">
                        <c:v>1048</c:v>
                      </c:pt>
                      <c:pt idx="8">
                        <c:v>3513</c:v>
                      </c:pt>
                      <c:pt idx="9">
                        <c:v>1263</c:v>
                      </c:pt>
                    </c:numCache>
                  </c:numRef>
                </c:val>
                <c:extLst xmlns:c15="http://schemas.microsoft.com/office/drawing/2012/chart">
                  <c:ext xmlns:c16="http://schemas.microsoft.com/office/drawing/2014/chart" uri="{C3380CC4-5D6E-409C-BE32-E72D297353CC}">
                    <c16:uniqueId val="{00000003-0210-42AF-8890-D4EA76E2B91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'GHG 10 years'!$X$10</c15:sqref>
                        </c15:formulaRef>
                      </c:ext>
                    </c:extLst>
                    <c:strCache>
                      <c:ptCount val="1"/>
                      <c:pt idx="0">
                        <c:v>Perfluorocarbons (PFCs)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years'!$Y$10:$AH$10</c15:sqref>
                        </c15:formulaRef>
                      </c:ext>
                    </c:extLst>
                    <c:numCache>
                      <c:formatCode>#,##0</c:formatCode>
                      <c:ptCount val="10"/>
                      <c:pt idx="0">
                        <c:v>1604</c:v>
                      </c:pt>
                      <c:pt idx="1">
                        <c:v>2861</c:v>
                      </c:pt>
                      <c:pt idx="2">
                        <c:v>3090</c:v>
                      </c:pt>
                      <c:pt idx="3">
                        <c:v>4287</c:v>
                      </c:pt>
                      <c:pt idx="4">
                        <c:v>8443</c:v>
                      </c:pt>
                      <c:pt idx="5">
                        <c:v>4130</c:v>
                      </c:pt>
                      <c:pt idx="6">
                        <c:v>4510</c:v>
                      </c:pt>
                      <c:pt idx="7">
                        <c:v>4355</c:v>
                      </c:pt>
                      <c:pt idx="8">
                        <c:v>4418</c:v>
                      </c:pt>
                      <c:pt idx="9">
                        <c:v>3945</c:v>
                      </c:pt>
                    </c:numCache>
                  </c:numRef>
                </c:val>
                <c:extLst xmlns:c15="http://schemas.microsoft.com/office/drawing/2012/chart">
                  <c:ext xmlns:c16="http://schemas.microsoft.com/office/drawing/2014/chart" uri="{C3380CC4-5D6E-409C-BE32-E72D297353CC}">
                    <c16:uniqueId val="{00000004-0210-42AF-8890-D4EA76E2B91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'GHG 10 years'!$X$11</c15:sqref>
                        </c15:formulaRef>
                      </c:ext>
                    </c:extLst>
                    <c:strCache>
                      <c:ptCount val="1"/>
                      <c:pt idx="0">
                        <c:v>Sulphur hexafluoride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years'!$Y$11:$AH$11</c15:sqref>
                        </c15:formulaRef>
                      </c:ext>
                    </c:extLst>
                    <c:numCache>
                      <c:formatCode>General</c:formatCode>
                      <c:ptCount val="10"/>
                      <c:pt idx="0">
                        <c:v>207</c:v>
                      </c:pt>
                      <c:pt idx="1">
                        <c:v>284</c:v>
                      </c:pt>
                      <c:pt idx="2">
                        <c:v>304</c:v>
                      </c:pt>
                      <c:pt idx="3">
                        <c:v>241</c:v>
                      </c:pt>
                      <c:pt idx="4">
                        <c:v>178</c:v>
                      </c:pt>
                      <c:pt idx="5">
                        <c:v>77</c:v>
                      </c:pt>
                      <c:pt idx="6">
                        <c:v>128</c:v>
                      </c:pt>
                      <c:pt idx="7">
                        <c:v>134</c:v>
                      </c:pt>
                      <c:pt idx="8">
                        <c:v>107</c:v>
                      </c:pt>
                      <c:pt idx="9">
                        <c:v>221</c:v>
                      </c:pt>
                    </c:numCache>
                  </c:numRef>
                </c:val>
                <c:extLst xmlns:c15="http://schemas.microsoft.com/office/drawing/2012/chart">
                  <c:ext xmlns:c16="http://schemas.microsoft.com/office/drawing/2014/chart" uri="{C3380CC4-5D6E-409C-BE32-E72D297353CC}">
                    <c16:uniqueId val="{00000005-0210-42AF-8890-D4EA76E2B91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'GHG 10 years'!$X$12</c15:sqref>
                        </c15:formulaRef>
                      </c:ext>
                    </c:extLst>
                    <c:strCache>
                      <c:ptCount val="1"/>
                      <c:pt idx="0">
                        <c:v>Total GHGs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years'!$Y$12:$AH$12</c15:sqref>
                        </c15:formulaRef>
                      </c:ext>
                    </c:extLst>
                    <c:numCache>
                      <c:formatCode>#,##0</c:formatCode>
                      <c:ptCount val="10"/>
                      <c:pt idx="0">
                        <c:v>26432623308</c:v>
                      </c:pt>
                      <c:pt idx="1">
                        <c:v>22592842120</c:v>
                      </c:pt>
                      <c:pt idx="2">
                        <c:v>23033050040</c:v>
                      </c:pt>
                      <c:pt idx="3">
                        <c:v>21213774357</c:v>
                      </c:pt>
                      <c:pt idx="4">
                        <c:v>19247384785</c:v>
                      </c:pt>
                      <c:pt idx="5">
                        <c:v>17407130381</c:v>
                      </c:pt>
                      <c:pt idx="6">
                        <c:v>12495989516</c:v>
                      </c:pt>
                      <c:pt idx="7">
                        <c:v>11561755968</c:v>
                      </c:pt>
                      <c:pt idx="8">
                        <c:v>11877056012</c:v>
                      </c:pt>
                      <c:pt idx="9">
                        <c:v>11320036563.145941</c:v>
                      </c:pt>
                    </c:numCache>
                  </c:numRef>
                </c:val>
                <c:extLst xmlns:c15="http://schemas.microsoft.com/office/drawing/2012/chart">
                  <c:ext xmlns:c16="http://schemas.microsoft.com/office/drawing/2014/chart" uri="{C3380CC4-5D6E-409C-BE32-E72D297353CC}">
                    <c16:uniqueId val="{00000006-0210-42AF-8890-D4EA76E2B91F}"/>
                  </c:ext>
                </c:extLst>
              </c15:ser>
            </c15:filteredBarSeries>
          </c:ext>
        </c:extLst>
      </c:barChart>
      <c:catAx>
        <c:axId val="50474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821888"/>
        <c:crosses val="autoZero"/>
        <c:auto val="1"/>
        <c:lblAlgn val="ctr"/>
        <c:lblOffset val="100"/>
        <c:noMultiLvlLbl val="0"/>
      </c:catAx>
      <c:valAx>
        <c:axId val="66182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4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Methane (tonnes)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 7'!$B$1</c:f>
              <c:strCache>
                <c:ptCount val="1"/>
                <c:pt idx="0">
                  <c:v>2010</c:v>
                </c:pt>
              </c:strCache>
            </c:strRef>
          </c:tx>
          <c:spPr>
            <a:solidFill>
              <a:srgbClr val="CCCCFF"/>
            </a:solidFill>
            <a:ln>
              <a:noFill/>
            </a:ln>
            <a:effectLst/>
          </c:spPr>
          <c:invertIfNegative val="0"/>
          <c:dLbls>
            <c:dLbl>
              <c:idx val="0"/>
              <c:layout>
                <c:manualLayout>
                  <c:x val="0"/>
                  <c:y val="-5.712365591397849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694-4BED-8788-1310FA948035}"/>
                </c:ext>
              </c:extLst>
            </c:dLbl>
            <c:dLbl>
              <c:idx val="2"/>
              <c:layout>
                <c:manualLayout>
                  <c:x val="3.5033673891742383E-17"/>
                  <c:y val="-5.040322580645167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694-4BED-8788-1310FA948035}"/>
                </c:ext>
              </c:extLst>
            </c:dLbl>
            <c:dLbl>
              <c:idx val="3"/>
              <c:layout>
                <c:manualLayout>
                  <c:x val="0"/>
                  <c:y val="-4.03225806451612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694-4BED-8788-1310FA948035}"/>
                </c:ext>
              </c:extLst>
            </c:dLbl>
            <c:dLbl>
              <c:idx val="6"/>
              <c:layout>
                <c:manualLayout>
                  <c:x val="-1.4013469556696953E-16"/>
                  <c:y val="-5.37634408602150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694-4BED-8788-1310FA9480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7'!$A$2:$A$10</c:f>
              <c:strCache>
                <c:ptCount val="9"/>
                <c:pt idx="0">
                  <c:v>1 - Energy sector</c:v>
                </c:pt>
                <c:pt idx="1">
                  <c:v>2 - Production and processing of metals</c:v>
                </c:pt>
                <c:pt idx="2">
                  <c:v>3 - Mineral industry</c:v>
                </c:pt>
                <c:pt idx="3">
                  <c:v>4 - Chemical industry</c:v>
                </c:pt>
                <c:pt idx="4">
                  <c:v>5 - Waste and waste-water management</c:v>
                </c:pt>
                <c:pt idx="5">
                  <c:v>6 - Paper and wood production and processing</c:v>
                </c:pt>
                <c:pt idx="6">
                  <c:v>7 - Intensive livestock production and aquaculture</c:v>
                </c:pt>
                <c:pt idx="7">
                  <c:v>8 - Animal and vegetable products from the food and beverage sector</c:v>
                </c:pt>
                <c:pt idx="8">
                  <c:v>9 - Other activities</c:v>
                </c:pt>
              </c:strCache>
            </c:strRef>
          </c:cat>
          <c:val>
            <c:numRef>
              <c:f>'Fig 7'!$B$2:$B$10</c:f>
              <c:numCache>
                <c:formatCode>#,##0</c:formatCode>
                <c:ptCount val="9"/>
                <c:pt idx="0">
                  <c:v>4526.241</c:v>
                </c:pt>
                <c:pt idx="1">
                  <c:v>0</c:v>
                </c:pt>
                <c:pt idx="2">
                  <c:v>678.40499999999997</c:v>
                </c:pt>
                <c:pt idx="3">
                  <c:v>946</c:v>
                </c:pt>
                <c:pt idx="4">
                  <c:v>41199.464</c:v>
                </c:pt>
                <c:pt idx="5">
                  <c:v>0</c:v>
                </c:pt>
                <c:pt idx="6">
                  <c:v>562.33199999999999</c:v>
                </c:pt>
                <c:pt idx="7">
                  <c:v>0</c:v>
                </c:pt>
                <c:pt idx="8">
                  <c:v>0</c:v>
                </c:pt>
              </c:numCache>
            </c:numRef>
          </c:val>
          <c:extLst>
            <c:ext xmlns:c16="http://schemas.microsoft.com/office/drawing/2014/chart" uri="{C3380CC4-5D6E-409C-BE32-E72D297353CC}">
              <c16:uniqueId val="{00000004-F694-4BED-8788-1310FA948035}"/>
            </c:ext>
          </c:extLst>
        </c:ser>
        <c:ser>
          <c:idx val="1"/>
          <c:order val="1"/>
          <c:tx>
            <c:strRef>
              <c:f>'Fig 7'!$C$1</c:f>
              <c:strCache>
                <c:ptCount val="1"/>
                <c:pt idx="0">
                  <c:v>2019</c:v>
                </c:pt>
              </c:strCache>
            </c:strRef>
          </c:tx>
          <c:spPr>
            <a:solidFill>
              <a:srgbClr val="9933FF"/>
            </a:solidFill>
            <a:ln>
              <a:noFill/>
            </a:ln>
            <a:effectLst/>
          </c:spPr>
          <c:invertIfNegative val="0"/>
          <c:dLbls>
            <c:spPr>
              <a:solidFill>
                <a:sysClr val="window" lastClr="FFFFFF"/>
              </a:solidFill>
              <a:ln>
                <a:solidFill>
                  <a:srgbClr val="5B9BD5"/>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 7'!$A$2:$A$10</c:f>
              <c:strCache>
                <c:ptCount val="9"/>
                <c:pt idx="0">
                  <c:v>1 - Energy sector</c:v>
                </c:pt>
                <c:pt idx="1">
                  <c:v>2 - Production and processing of metals</c:v>
                </c:pt>
                <c:pt idx="2">
                  <c:v>3 - Mineral industry</c:v>
                </c:pt>
                <c:pt idx="3">
                  <c:v>4 - Chemical industry</c:v>
                </c:pt>
                <c:pt idx="4">
                  <c:v>5 - Waste and waste-water management</c:v>
                </c:pt>
                <c:pt idx="5">
                  <c:v>6 - Paper and wood production and processing</c:v>
                </c:pt>
                <c:pt idx="6">
                  <c:v>7 - Intensive livestock production and aquaculture</c:v>
                </c:pt>
                <c:pt idx="7">
                  <c:v>8 - Animal and vegetable products from the food and beverage sector</c:v>
                </c:pt>
                <c:pt idx="8">
                  <c:v>9 - Other activities</c:v>
                </c:pt>
              </c:strCache>
            </c:strRef>
          </c:cat>
          <c:val>
            <c:numRef>
              <c:f>'Fig 7'!$C$2:$C$10</c:f>
              <c:numCache>
                <c:formatCode>#,##0</c:formatCode>
                <c:ptCount val="9"/>
                <c:pt idx="0">
                  <c:v>4028.6779999999999</c:v>
                </c:pt>
                <c:pt idx="1">
                  <c:v>0</c:v>
                </c:pt>
                <c:pt idx="2">
                  <c:v>109.352</c:v>
                </c:pt>
                <c:pt idx="3">
                  <c:v>276.791</c:v>
                </c:pt>
                <c:pt idx="4">
                  <c:v>21766.763999999999</c:v>
                </c:pt>
                <c:pt idx="5">
                  <c:v>0</c:v>
                </c:pt>
                <c:pt idx="6">
                  <c:v>582.68600000000004</c:v>
                </c:pt>
                <c:pt idx="7">
                  <c:v>13.086</c:v>
                </c:pt>
                <c:pt idx="8">
                  <c:v>0</c:v>
                </c:pt>
              </c:numCache>
            </c:numRef>
          </c:val>
          <c:extLst>
            <c:ext xmlns:c16="http://schemas.microsoft.com/office/drawing/2014/chart" uri="{C3380CC4-5D6E-409C-BE32-E72D297353CC}">
              <c16:uniqueId val="{00000005-F694-4BED-8788-1310FA948035}"/>
            </c:ext>
          </c:extLst>
        </c:ser>
        <c:dLbls>
          <c:dLblPos val="outEnd"/>
          <c:showLegendKey val="0"/>
          <c:showVal val="1"/>
          <c:showCatName val="0"/>
          <c:showSerName val="0"/>
          <c:showPercent val="0"/>
          <c:showBubbleSize val="0"/>
        </c:dLbls>
        <c:gapWidth val="219"/>
        <c:overlap val="-27"/>
        <c:axId val="484536216"/>
        <c:axId val="484545072"/>
      </c:barChart>
      <c:catAx>
        <c:axId val="48453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545072"/>
        <c:crosses val="autoZero"/>
        <c:auto val="1"/>
        <c:lblAlgn val="ctr"/>
        <c:lblOffset val="100"/>
        <c:noMultiLvlLbl val="0"/>
      </c:catAx>
      <c:valAx>
        <c:axId val="484545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5362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Nitrous oxide (kg)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'GHG 10 years'!$X$8</c:f>
              <c:strCache>
                <c:ptCount val="1"/>
                <c:pt idx="0">
                  <c:v>Nitrous oxide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'GHG 10 years'!$Y$4:$AH$4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'GHG 10 years'!$Y$8:$AH$8</c:f>
              <c:numCache>
                <c:formatCode>#,##0</c:formatCode>
                <c:ptCount val="10"/>
                <c:pt idx="0">
                  <c:v>250912</c:v>
                </c:pt>
                <c:pt idx="1">
                  <c:v>185429</c:v>
                </c:pt>
                <c:pt idx="2">
                  <c:v>195109</c:v>
                </c:pt>
                <c:pt idx="3">
                  <c:v>161230</c:v>
                </c:pt>
                <c:pt idx="4">
                  <c:v>171467</c:v>
                </c:pt>
                <c:pt idx="5">
                  <c:v>160544</c:v>
                </c:pt>
                <c:pt idx="6">
                  <c:v>131144</c:v>
                </c:pt>
                <c:pt idx="7">
                  <c:v>96170</c:v>
                </c:pt>
                <c:pt idx="8">
                  <c:v>89846</c:v>
                </c:pt>
                <c:pt idx="9">
                  <c:v>96543</c:v>
                </c:pt>
              </c:numCache>
            </c:numRef>
          </c:val>
          <c:extLst>
            <c:ext xmlns:c16="http://schemas.microsoft.com/office/drawing/2014/chart" uri="{C3380CC4-5D6E-409C-BE32-E72D297353CC}">
              <c16:uniqueId val="{00000000-7109-41B8-A0E7-54CF2580828F}"/>
            </c:ext>
          </c:extLst>
        </c:ser>
        <c:dLbls>
          <c:dLblPos val="outEnd"/>
          <c:showLegendKey val="0"/>
          <c:showVal val="1"/>
          <c:showCatName val="0"/>
          <c:showSerName val="0"/>
          <c:showPercent val="0"/>
          <c:showBubbleSize val="0"/>
        </c:dLbls>
        <c:gapWidth val="219"/>
        <c:overlap val="-27"/>
        <c:axId val="504740064"/>
        <c:axId val="661821888"/>
        <c:extLst>
          <c:ext xmlns:c15="http://schemas.microsoft.com/office/drawing/2012/chart" uri="{02D57815-91ED-43cb-92C2-25804820EDAC}">
            <c15:filteredBarSeries>
              <c15:ser>
                <c:idx val="0"/>
                <c:order val="0"/>
                <c:tx>
                  <c:strRef>
                    <c:extLst>
                      <c:ext uri="{02D57815-91ED-43cb-92C2-25804820EDAC}">
                        <c15:formulaRef>
                          <c15:sqref>'GHG 10 years'!$X$5</c15:sqref>
                        </c15:formulaRef>
                      </c:ext>
                    </c:extLst>
                    <c:strCache>
                      <c:ptCount val="1"/>
                      <c:pt idx="0">
                        <c:v>Carbon dioxide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'GHG 10 years'!$Y$5:$AH$5</c15:sqref>
                        </c15:formulaRef>
                      </c:ext>
                    </c:extLst>
                    <c:numCache>
                      <c:formatCode>#,##0</c:formatCode>
                      <c:ptCount val="10"/>
                      <c:pt idx="0">
                        <c:v>26384456678</c:v>
                      </c:pt>
                      <c:pt idx="1">
                        <c:v>22544490949</c:v>
                      </c:pt>
                      <c:pt idx="2">
                        <c:v>22984923683</c:v>
                      </c:pt>
                      <c:pt idx="3">
                        <c:v>21166495017</c:v>
                      </c:pt>
                      <c:pt idx="4">
                        <c:v>19204496971</c:v>
                      </c:pt>
                      <c:pt idx="5">
                        <c:v>17368829321</c:v>
                      </c:pt>
                      <c:pt idx="6">
                        <c:v>12460891832</c:v>
                      </c:pt>
                      <c:pt idx="7">
                        <c:v>11529114447</c:v>
                      </c:pt>
                      <c:pt idx="8">
                        <c:v>11849079760</c:v>
                      </c:pt>
                      <c:pt idx="9">
                        <c:v>11293145941</c:v>
                      </c:pt>
                    </c:numCache>
                  </c:numRef>
                </c:val>
                <c:extLst>
                  <c:ext xmlns:c16="http://schemas.microsoft.com/office/drawing/2014/chart" uri="{C3380CC4-5D6E-409C-BE32-E72D297353CC}">
                    <c16:uniqueId val="{00000001-7109-41B8-A0E7-54CF2580828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'GHG 10 years'!$X$7</c15:sqref>
                        </c15:formulaRef>
                      </c:ext>
                    </c:extLst>
                    <c:strCache>
                      <c:ptCount val="1"/>
                      <c:pt idx="0">
                        <c:v>Methane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years'!$Y$7:$AH$7</c15:sqref>
                        </c15:formulaRef>
                      </c:ext>
                    </c:extLst>
                    <c:numCache>
                      <c:formatCode>#,##0</c:formatCode>
                      <c:ptCount val="10"/>
                      <c:pt idx="0">
                        <c:v>47912442</c:v>
                      </c:pt>
                      <c:pt idx="1">
                        <c:v>48160452</c:v>
                      </c:pt>
                      <c:pt idx="2">
                        <c:v>47925218</c:v>
                      </c:pt>
                      <c:pt idx="3">
                        <c:v>47109802</c:v>
                      </c:pt>
                      <c:pt idx="4">
                        <c:v>42705884</c:v>
                      </c:pt>
                      <c:pt idx="5">
                        <c:v>38133819</c:v>
                      </c:pt>
                      <c:pt idx="6">
                        <c:v>34960168</c:v>
                      </c:pt>
                      <c:pt idx="7">
                        <c:v>32539814</c:v>
                      </c:pt>
                      <c:pt idx="8">
                        <c:v>27878368</c:v>
                      </c:pt>
                      <c:pt idx="9">
                        <c:v>26777357</c:v>
                      </c:pt>
                    </c:numCache>
                  </c:numRef>
                </c:val>
                <c:extLst xmlns:c15="http://schemas.microsoft.com/office/drawing/2012/chart">
                  <c:ext xmlns:c16="http://schemas.microsoft.com/office/drawing/2014/chart" uri="{C3380CC4-5D6E-409C-BE32-E72D297353CC}">
                    <c16:uniqueId val="{00000002-7109-41B8-A0E7-54CF2580828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'GHG 10 years'!$X$9</c15:sqref>
                        </c15:formulaRef>
                      </c:ext>
                    </c:extLst>
                    <c:strCache>
                      <c:ptCount val="1"/>
                      <c:pt idx="0">
                        <c:v>Hydrofluorocarbons (HFCs)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years'!$Y$9:$AH$9</c15:sqref>
                        </c15:formulaRef>
                      </c:ext>
                    </c:extLst>
                    <c:numCache>
                      <c:formatCode>#,##0</c:formatCode>
                      <c:ptCount val="10"/>
                      <c:pt idx="0">
                        <c:v>1465</c:v>
                      </c:pt>
                      <c:pt idx="1">
                        <c:v>2145</c:v>
                      </c:pt>
                      <c:pt idx="2">
                        <c:v>2636</c:v>
                      </c:pt>
                      <c:pt idx="3">
                        <c:v>3780</c:v>
                      </c:pt>
                      <c:pt idx="4">
                        <c:v>1842</c:v>
                      </c:pt>
                      <c:pt idx="5">
                        <c:v>2489</c:v>
                      </c:pt>
                      <c:pt idx="6">
                        <c:v>1734</c:v>
                      </c:pt>
                      <c:pt idx="7">
                        <c:v>1048</c:v>
                      </c:pt>
                      <c:pt idx="8">
                        <c:v>3513</c:v>
                      </c:pt>
                      <c:pt idx="9">
                        <c:v>1263</c:v>
                      </c:pt>
                    </c:numCache>
                  </c:numRef>
                </c:val>
                <c:extLst xmlns:c15="http://schemas.microsoft.com/office/drawing/2012/chart">
                  <c:ext xmlns:c16="http://schemas.microsoft.com/office/drawing/2014/chart" uri="{C3380CC4-5D6E-409C-BE32-E72D297353CC}">
                    <c16:uniqueId val="{00000003-7109-41B8-A0E7-54CF2580828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'GHG 10 years'!$X$10</c15:sqref>
                        </c15:formulaRef>
                      </c:ext>
                    </c:extLst>
                    <c:strCache>
                      <c:ptCount val="1"/>
                      <c:pt idx="0">
                        <c:v>Perfluorocarbons (PFCs)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years'!$Y$10:$AH$10</c15:sqref>
                        </c15:formulaRef>
                      </c:ext>
                    </c:extLst>
                    <c:numCache>
                      <c:formatCode>#,##0</c:formatCode>
                      <c:ptCount val="10"/>
                      <c:pt idx="0">
                        <c:v>1604</c:v>
                      </c:pt>
                      <c:pt idx="1">
                        <c:v>2861</c:v>
                      </c:pt>
                      <c:pt idx="2">
                        <c:v>3090</c:v>
                      </c:pt>
                      <c:pt idx="3">
                        <c:v>4287</c:v>
                      </c:pt>
                      <c:pt idx="4">
                        <c:v>8443</c:v>
                      </c:pt>
                      <c:pt idx="5">
                        <c:v>4130</c:v>
                      </c:pt>
                      <c:pt idx="6">
                        <c:v>4510</c:v>
                      </c:pt>
                      <c:pt idx="7">
                        <c:v>4355</c:v>
                      </c:pt>
                      <c:pt idx="8">
                        <c:v>4418</c:v>
                      </c:pt>
                      <c:pt idx="9">
                        <c:v>3945</c:v>
                      </c:pt>
                    </c:numCache>
                  </c:numRef>
                </c:val>
                <c:extLst xmlns:c15="http://schemas.microsoft.com/office/drawing/2012/chart">
                  <c:ext xmlns:c16="http://schemas.microsoft.com/office/drawing/2014/chart" uri="{C3380CC4-5D6E-409C-BE32-E72D297353CC}">
                    <c16:uniqueId val="{00000004-7109-41B8-A0E7-54CF2580828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'GHG 10 years'!$X$11</c15:sqref>
                        </c15:formulaRef>
                      </c:ext>
                    </c:extLst>
                    <c:strCache>
                      <c:ptCount val="1"/>
                      <c:pt idx="0">
                        <c:v>Sulphur hexafluoride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years'!$Y$11:$AH$11</c15:sqref>
                        </c15:formulaRef>
                      </c:ext>
                    </c:extLst>
                    <c:numCache>
                      <c:formatCode>General</c:formatCode>
                      <c:ptCount val="10"/>
                      <c:pt idx="0">
                        <c:v>207</c:v>
                      </c:pt>
                      <c:pt idx="1">
                        <c:v>284</c:v>
                      </c:pt>
                      <c:pt idx="2">
                        <c:v>304</c:v>
                      </c:pt>
                      <c:pt idx="3">
                        <c:v>241</c:v>
                      </c:pt>
                      <c:pt idx="4">
                        <c:v>178</c:v>
                      </c:pt>
                      <c:pt idx="5">
                        <c:v>77</c:v>
                      </c:pt>
                      <c:pt idx="6">
                        <c:v>128</c:v>
                      </c:pt>
                      <c:pt idx="7">
                        <c:v>134</c:v>
                      </c:pt>
                      <c:pt idx="8">
                        <c:v>107</c:v>
                      </c:pt>
                      <c:pt idx="9">
                        <c:v>221</c:v>
                      </c:pt>
                    </c:numCache>
                  </c:numRef>
                </c:val>
                <c:extLst xmlns:c15="http://schemas.microsoft.com/office/drawing/2012/chart">
                  <c:ext xmlns:c16="http://schemas.microsoft.com/office/drawing/2014/chart" uri="{C3380CC4-5D6E-409C-BE32-E72D297353CC}">
                    <c16:uniqueId val="{00000005-7109-41B8-A0E7-54CF2580828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'GHG 10 years'!$X$12</c15:sqref>
                        </c15:formulaRef>
                      </c:ext>
                    </c:extLst>
                    <c:strCache>
                      <c:ptCount val="1"/>
                      <c:pt idx="0">
                        <c:v>Total GHGs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years'!$Y$12:$AH$12</c15:sqref>
                        </c15:formulaRef>
                      </c:ext>
                    </c:extLst>
                    <c:numCache>
                      <c:formatCode>#,##0</c:formatCode>
                      <c:ptCount val="10"/>
                      <c:pt idx="0">
                        <c:v>26432623308</c:v>
                      </c:pt>
                      <c:pt idx="1">
                        <c:v>22592842120</c:v>
                      </c:pt>
                      <c:pt idx="2">
                        <c:v>23033050040</c:v>
                      </c:pt>
                      <c:pt idx="3">
                        <c:v>21213774357</c:v>
                      </c:pt>
                      <c:pt idx="4">
                        <c:v>19247384785</c:v>
                      </c:pt>
                      <c:pt idx="5">
                        <c:v>17407130381</c:v>
                      </c:pt>
                      <c:pt idx="6">
                        <c:v>12495989516</c:v>
                      </c:pt>
                      <c:pt idx="7">
                        <c:v>11561755968</c:v>
                      </c:pt>
                      <c:pt idx="8">
                        <c:v>11877056012</c:v>
                      </c:pt>
                      <c:pt idx="9">
                        <c:v>11320036563.145941</c:v>
                      </c:pt>
                    </c:numCache>
                  </c:numRef>
                </c:val>
                <c:extLst xmlns:c15="http://schemas.microsoft.com/office/drawing/2012/chart">
                  <c:ext xmlns:c16="http://schemas.microsoft.com/office/drawing/2014/chart" uri="{C3380CC4-5D6E-409C-BE32-E72D297353CC}">
                    <c16:uniqueId val="{00000006-7109-41B8-A0E7-54CF2580828F}"/>
                  </c:ext>
                </c:extLst>
              </c15:ser>
            </c15:filteredBarSeries>
          </c:ext>
        </c:extLst>
      </c:barChart>
      <c:catAx>
        <c:axId val="50474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821888"/>
        <c:crosses val="autoZero"/>
        <c:auto val="1"/>
        <c:lblAlgn val="ctr"/>
        <c:lblOffset val="100"/>
        <c:noMultiLvlLbl val="0"/>
      </c:catAx>
      <c:valAx>
        <c:axId val="66182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4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F-gases (kg)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3"/>
          <c:order val="3"/>
          <c:tx>
            <c:strRef>
              <c:f>'GHG 10 years'!$X$9</c:f>
              <c:strCache>
                <c:ptCount val="1"/>
                <c:pt idx="0">
                  <c:v>Hydrofluorocarbons (HFCs)</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'GHG 10 years'!$Y$4:$AH$4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'GHG 10 years'!$Y$9:$AH$9</c:f>
              <c:numCache>
                <c:formatCode>#,##0</c:formatCode>
                <c:ptCount val="10"/>
                <c:pt idx="0">
                  <c:v>1465</c:v>
                </c:pt>
                <c:pt idx="1">
                  <c:v>2145</c:v>
                </c:pt>
                <c:pt idx="2">
                  <c:v>2636</c:v>
                </c:pt>
                <c:pt idx="3">
                  <c:v>3780</c:v>
                </c:pt>
                <c:pt idx="4">
                  <c:v>1842</c:v>
                </c:pt>
                <c:pt idx="5">
                  <c:v>2489</c:v>
                </c:pt>
                <c:pt idx="6">
                  <c:v>1734</c:v>
                </c:pt>
                <c:pt idx="7">
                  <c:v>1048</c:v>
                </c:pt>
                <c:pt idx="8">
                  <c:v>3513</c:v>
                </c:pt>
                <c:pt idx="9">
                  <c:v>1263</c:v>
                </c:pt>
              </c:numCache>
            </c:numRef>
          </c:val>
          <c:extLst>
            <c:ext xmlns:c16="http://schemas.microsoft.com/office/drawing/2014/chart" uri="{C3380CC4-5D6E-409C-BE32-E72D297353CC}">
              <c16:uniqueId val="{00000000-C75D-4AA1-A4E3-8A210D5565CB}"/>
            </c:ext>
          </c:extLst>
        </c:ser>
        <c:ser>
          <c:idx val="4"/>
          <c:order val="4"/>
          <c:tx>
            <c:strRef>
              <c:f>'GHG 10 years'!$X$10</c:f>
              <c:strCache>
                <c:ptCount val="1"/>
                <c:pt idx="0">
                  <c:v>Perfluorocarbons (PFCs)</c:v>
                </c:pt>
              </c:strCache>
              <c:extLst xmlns:c15="http://schemas.microsoft.com/office/drawing/2012/chart"/>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'GHG 10 years'!$Y$4:$AH$4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5="http://schemas.microsoft.com/office/drawing/2012/chart"/>
            </c:numRef>
          </c:cat>
          <c:val>
            <c:numRef>
              <c:f>'GHG 10 years'!$Y$10:$AH$10</c:f>
              <c:numCache>
                <c:formatCode>#,##0</c:formatCode>
                <c:ptCount val="10"/>
                <c:pt idx="0">
                  <c:v>1604</c:v>
                </c:pt>
                <c:pt idx="1">
                  <c:v>2861</c:v>
                </c:pt>
                <c:pt idx="2">
                  <c:v>3090</c:v>
                </c:pt>
                <c:pt idx="3">
                  <c:v>4287</c:v>
                </c:pt>
                <c:pt idx="4">
                  <c:v>8443</c:v>
                </c:pt>
                <c:pt idx="5">
                  <c:v>4130</c:v>
                </c:pt>
                <c:pt idx="6">
                  <c:v>4510</c:v>
                </c:pt>
                <c:pt idx="7">
                  <c:v>4355</c:v>
                </c:pt>
                <c:pt idx="8">
                  <c:v>4418</c:v>
                </c:pt>
                <c:pt idx="9">
                  <c:v>3945</c:v>
                </c:pt>
              </c:numCache>
              <c:extLst xmlns:c15="http://schemas.microsoft.com/office/drawing/2012/chart"/>
            </c:numRef>
          </c:val>
          <c:extLst xmlns:c15="http://schemas.microsoft.com/office/drawing/2012/chart">
            <c:ext xmlns:c16="http://schemas.microsoft.com/office/drawing/2014/chart" uri="{C3380CC4-5D6E-409C-BE32-E72D297353CC}">
              <c16:uniqueId val="{00000001-C75D-4AA1-A4E3-8A210D5565CB}"/>
            </c:ext>
          </c:extLst>
        </c:ser>
        <c:ser>
          <c:idx val="5"/>
          <c:order val="5"/>
          <c:tx>
            <c:strRef>
              <c:f>'GHG 10 years'!$X$11</c:f>
              <c:strCache>
                <c:ptCount val="1"/>
                <c:pt idx="0">
                  <c:v>Sulphur hexafluoride</c:v>
                </c:pt>
              </c:strCache>
              <c:extLst xmlns:c15="http://schemas.microsoft.com/office/drawing/2012/chart"/>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'GHG 10 years'!$Y$4:$AH$4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extLst xmlns:c15="http://schemas.microsoft.com/office/drawing/2012/chart"/>
            </c:numRef>
          </c:cat>
          <c:val>
            <c:numRef>
              <c:f>'GHG 10 years'!$Y$11:$AH$11</c:f>
              <c:numCache>
                <c:formatCode>General</c:formatCode>
                <c:ptCount val="10"/>
                <c:pt idx="0">
                  <c:v>207</c:v>
                </c:pt>
                <c:pt idx="1">
                  <c:v>284</c:v>
                </c:pt>
                <c:pt idx="2">
                  <c:v>304</c:v>
                </c:pt>
                <c:pt idx="3">
                  <c:v>241</c:v>
                </c:pt>
                <c:pt idx="4">
                  <c:v>178</c:v>
                </c:pt>
                <c:pt idx="5">
                  <c:v>77</c:v>
                </c:pt>
                <c:pt idx="6">
                  <c:v>128</c:v>
                </c:pt>
                <c:pt idx="7">
                  <c:v>134</c:v>
                </c:pt>
                <c:pt idx="8">
                  <c:v>107</c:v>
                </c:pt>
                <c:pt idx="9">
                  <c:v>221</c:v>
                </c:pt>
              </c:numCache>
              <c:extLst xmlns:c15="http://schemas.microsoft.com/office/drawing/2012/chart"/>
            </c:numRef>
          </c:val>
          <c:extLst xmlns:c15="http://schemas.microsoft.com/office/drawing/2012/chart">
            <c:ext xmlns:c16="http://schemas.microsoft.com/office/drawing/2014/chart" uri="{C3380CC4-5D6E-409C-BE32-E72D297353CC}">
              <c16:uniqueId val="{00000002-C75D-4AA1-A4E3-8A210D5565CB}"/>
            </c:ext>
          </c:extLst>
        </c:ser>
        <c:dLbls>
          <c:showLegendKey val="0"/>
          <c:showVal val="1"/>
          <c:showCatName val="0"/>
          <c:showSerName val="0"/>
          <c:showPercent val="0"/>
          <c:showBubbleSize val="0"/>
        </c:dLbls>
        <c:gapWidth val="219"/>
        <c:overlap val="100"/>
        <c:axId val="504740064"/>
        <c:axId val="661821888"/>
        <c:extLst>
          <c:ext xmlns:c15="http://schemas.microsoft.com/office/drawing/2012/chart" uri="{02D57815-91ED-43cb-92C2-25804820EDAC}">
            <c15:filteredBarSeries>
              <c15:ser>
                <c:idx val="0"/>
                <c:order val="0"/>
                <c:tx>
                  <c:strRef>
                    <c:extLst>
                      <c:ext uri="{02D57815-91ED-43cb-92C2-25804820EDAC}">
                        <c15:formulaRef>
                          <c15:sqref>'GHG 10 years'!$X$5</c15:sqref>
                        </c15:formulaRef>
                      </c:ext>
                    </c:extLst>
                    <c:strCache>
                      <c:ptCount val="1"/>
                      <c:pt idx="0">
                        <c:v>Carbon dioxide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c:ext uri="{02D57815-91ED-43cb-92C2-25804820EDAC}">
                        <c15:formulaRef>
                          <c15:sqref>'GHG 10 years'!$Y$5:$AH$5</c15:sqref>
                        </c15:formulaRef>
                      </c:ext>
                    </c:extLst>
                    <c:numCache>
                      <c:formatCode>#,##0</c:formatCode>
                      <c:ptCount val="10"/>
                      <c:pt idx="0">
                        <c:v>26384456678</c:v>
                      </c:pt>
                      <c:pt idx="1">
                        <c:v>22544490949</c:v>
                      </c:pt>
                      <c:pt idx="2">
                        <c:v>22984923683</c:v>
                      </c:pt>
                      <c:pt idx="3">
                        <c:v>21166495017</c:v>
                      </c:pt>
                      <c:pt idx="4">
                        <c:v>19204496971</c:v>
                      </c:pt>
                      <c:pt idx="5">
                        <c:v>17368829321</c:v>
                      </c:pt>
                      <c:pt idx="6">
                        <c:v>12460891832</c:v>
                      </c:pt>
                      <c:pt idx="7">
                        <c:v>11529114447</c:v>
                      </c:pt>
                      <c:pt idx="8">
                        <c:v>11849079760</c:v>
                      </c:pt>
                      <c:pt idx="9">
                        <c:v>11293145941</c:v>
                      </c:pt>
                    </c:numCache>
                  </c:numRef>
                </c:val>
                <c:extLst>
                  <c:ext xmlns:c16="http://schemas.microsoft.com/office/drawing/2014/chart" uri="{C3380CC4-5D6E-409C-BE32-E72D297353CC}">
                    <c16:uniqueId val="{00000003-C75D-4AA1-A4E3-8A210D5565C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'GHG 10 years'!$X$7</c15:sqref>
                        </c15:formulaRef>
                      </c:ext>
                    </c:extLst>
                    <c:strCache>
                      <c:ptCount val="1"/>
                      <c:pt idx="0">
                        <c:v>Methane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years'!$Y$7:$AH$7</c15:sqref>
                        </c15:formulaRef>
                      </c:ext>
                    </c:extLst>
                    <c:numCache>
                      <c:formatCode>#,##0</c:formatCode>
                      <c:ptCount val="10"/>
                      <c:pt idx="0">
                        <c:v>47912442</c:v>
                      </c:pt>
                      <c:pt idx="1">
                        <c:v>48160452</c:v>
                      </c:pt>
                      <c:pt idx="2">
                        <c:v>47925218</c:v>
                      </c:pt>
                      <c:pt idx="3">
                        <c:v>47109802</c:v>
                      </c:pt>
                      <c:pt idx="4">
                        <c:v>42705884</c:v>
                      </c:pt>
                      <c:pt idx="5">
                        <c:v>38133819</c:v>
                      </c:pt>
                      <c:pt idx="6">
                        <c:v>34960168</c:v>
                      </c:pt>
                      <c:pt idx="7">
                        <c:v>32539814</c:v>
                      </c:pt>
                      <c:pt idx="8">
                        <c:v>27878368</c:v>
                      </c:pt>
                      <c:pt idx="9">
                        <c:v>26777357</c:v>
                      </c:pt>
                    </c:numCache>
                  </c:numRef>
                </c:val>
                <c:extLst xmlns:c15="http://schemas.microsoft.com/office/drawing/2012/chart">
                  <c:ext xmlns:c16="http://schemas.microsoft.com/office/drawing/2014/chart" uri="{C3380CC4-5D6E-409C-BE32-E72D297353CC}">
                    <c16:uniqueId val="{00000004-C75D-4AA1-A4E3-8A210D5565C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'GHG 10 years'!$X$8</c15:sqref>
                        </c15:formulaRef>
                      </c:ext>
                    </c:extLst>
                    <c:strCache>
                      <c:ptCount val="1"/>
                      <c:pt idx="0">
                        <c:v>Nitrous oxide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years'!$Y$8:$AH$8</c15:sqref>
                        </c15:formulaRef>
                      </c:ext>
                    </c:extLst>
                    <c:numCache>
                      <c:formatCode>#,##0</c:formatCode>
                      <c:ptCount val="10"/>
                      <c:pt idx="0">
                        <c:v>250912</c:v>
                      </c:pt>
                      <c:pt idx="1">
                        <c:v>185429</c:v>
                      </c:pt>
                      <c:pt idx="2">
                        <c:v>195109</c:v>
                      </c:pt>
                      <c:pt idx="3">
                        <c:v>161230</c:v>
                      </c:pt>
                      <c:pt idx="4">
                        <c:v>171467</c:v>
                      </c:pt>
                      <c:pt idx="5">
                        <c:v>160544</c:v>
                      </c:pt>
                      <c:pt idx="6">
                        <c:v>131144</c:v>
                      </c:pt>
                      <c:pt idx="7">
                        <c:v>96170</c:v>
                      </c:pt>
                      <c:pt idx="8">
                        <c:v>89846</c:v>
                      </c:pt>
                      <c:pt idx="9">
                        <c:v>96543</c:v>
                      </c:pt>
                    </c:numCache>
                  </c:numRef>
                </c:val>
                <c:extLst xmlns:c15="http://schemas.microsoft.com/office/drawing/2012/chart">
                  <c:ext xmlns:c16="http://schemas.microsoft.com/office/drawing/2014/chart" uri="{C3380CC4-5D6E-409C-BE32-E72D297353CC}">
                    <c16:uniqueId val="{00000005-C75D-4AA1-A4E3-8A210D5565C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'GHG 10 years'!$X$12</c15:sqref>
                        </c15:formulaRef>
                      </c:ext>
                    </c:extLst>
                    <c:strCache>
                      <c:ptCount val="1"/>
                      <c:pt idx="0">
                        <c:v>Total GHGs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'GHG 10 years'!$Y$4:$AH$4</c15:sqref>
                        </c15:formulaRef>
                      </c:ext>
                    </c:extLst>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extLst xmlns:c15="http://schemas.microsoft.com/office/drawing/2012/chart">
                      <c:ext xmlns:c15="http://schemas.microsoft.com/office/drawing/2012/chart" uri="{02D57815-91ED-43cb-92C2-25804820EDAC}">
                        <c15:formulaRef>
                          <c15:sqref>'GHG 10 years'!$Y$12:$AH$12</c15:sqref>
                        </c15:formulaRef>
                      </c:ext>
                    </c:extLst>
                    <c:numCache>
                      <c:formatCode>#,##0</c:formatCode>
                      <c:ptCount val="10"/>
                      <c:pt idx="0">
                        <c:v>26432623308</c:v>
                      </c:pt>
                      <c:pt idx="1">
                        <c:v>22592842120</c:v>
                      </c:pt>
                      <c:pt idx="2">
                        <c:v>23033050040</c:v>
                      </c:pt>
                      <c:pt idx="3">
                        <c:v>21213774357</c:v>
                      </c:pt>
                      <c:pt idx="4">
                        <c:v>19247384785</c:v>
                      </c:pt>
                      <c:pt idx="5">
                        <c:v>17407130381</c:v>
                      </c:pt>
                      <c:pt idx="6">
                        <c:v>12495989516</c:v>
                      </c:pt>
                      <c:pt idx="7">
                        <c:v>11561755968</c:v>
                      </c:pt>
                      <c:pt idx="8">
                        <c:v>11877056012</c:v>
                      </c:pt>
                      <c:pt idx="9">
                        <c:v>11320036563.145941</c:v>
                      </c:pt>
                    </c:numCache>
                  </c:numRef>
                </c:val>
                <c:extLst xmlns:c15="http://schemas.microsoft.com/office/drawing/2012/chart">
                  <c:ext xmlns:c16="http://schemas.microsoft.com/office/drawing/2014/chart" uri="{C3380CC4-5D6E-409C-BE32-E72D297353CC}">
                    <c16:uniqueId val="{00000006-C75D-4AA1-A4E3-8A210D5565CB}"/>
                  </c:ext>
                </c:extLst>
              </c15:ser>
            </c15:filteredBarSeries>
          </c:ext>
        </c:extLst>
      </c:barChart>
      <c:catAx>
        <c:axId val="50474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821888"/>
        <c:crosses val="autoZero"/>
        <c:auto val="1"/>
        <c:lblAlgn val="ctr"/>
        <c:lblOffset val="100"/>
        <c:noMultiLvlLbl val="0"/>
      </c:catAx>
      <c:valAx>
        <c:axId val="66182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740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'G4 - ART vs BRT by Sector'!$B$2</c:f>
              <c:strCache>
                <c:ptCount val="1"/>
                <c:pt idx="0">
                  <c:v>ART</c:v>
                </c:pt>
              </c:strCache>
            </c:strRef>
          </c:tx>
          <c:spPr>
            <a:solidFill>
              <a:schemeClr val="accent1"/>
            </a:solidFill>
            <a:ln>
              <a:noFill/>
            </a:ln>
            <a:effectLst/>
          </c:spPr>
          <c:invertIfNegative val="0"/>
          <c:dLbls>
            <c:delete val="1"/>
          </c:dLbls>
          <c:cat>
            <c:strRef>
              <c:f>'G4 - ART vs BRT by Sector'!$A$3:$A$11</c:f>
              <c:strCache>
                <c:ptCount val="9"/>
                <c:pt idx="0">
                  <c:v>1 - Energy sector</c:v>
                </c:pt>
                <c:pt idx="1">
                  <c:v>2 - Production and processing of metals</c:v>
                </c:pt>
                <c:pt idx="2">
                  <c:v>3 - Mineral industry</c:v>
                </c:pt>
                <c:pt idx="3">
                  <c:v>4 - Chemical industry</c:v>
                </c:pt>
                <c:pt idx="4">
                  <c:v>5 - Waste and waste-water management</c:v>
                </c:pt>
                <c:pt idx="5">
                  <c:v>6 - Paper and wood production and processing</c:v>
                </c:pt>
                <c:pt idx="6">
                  <c:v>7 - Intensive livestock production and aquaculture</c:v>
                </c:pt>
                <c:pt idx="7">
                  <c:v>8 - Animal and vegetable products from the food and beverage sector</c:v>
                </c:pt>
                <c:pt idx="8">
                  <c:v>9 - Other activities</c:v>
                </c:pt>
              </c:strCache>
            </c:strRef>
          </c:cat>
          <c:val>
            <c:numRef>
              <c:f>'G4 - ART vs BRT by Sector'!$B$3:$B$11</c:f>
              <c:numCache>
                <c:formatCode>General</c:formatCode>
                <c:ptCount val="9"/>
                <c:pt idx="0">
                  <c:v>157</c:v>
                </c:pt>
                <c:pt idx="1">
                  <c:v>7</c:v>
                </c:pt>
                <c:pt idx="2">
                  <c:v>49</c:v>
                </c:pt>
                <c:pt idx="3">
                  <c:v>75</c:v>
                </c:pt>
                <c:pt idx="4" formatCode="#,##0">
                  <c:v>1455</c:v>
                </c:pt>
                <c:pt idx="5">
                  <c:v>44</c:v>
                </c:pt>
                <c:pt idx="6">
                  <c:v>990</c:v>
                </c:pt>
                <c:pt idx="7">
                  <c:v>32</c:v>
                </c:pt>
                <c:pt idx="8">
                  <c:v>9</c:v>
                </c:pt>
              </c:numCache>
            </c:numRef>
          </c:val>
          <c:extLst>
            <c:ext xmlns:c16="http://schemas.microsoft.com/office/drawing/2014/chart" uri="{C3380CC4-5D6E-409C-BE32-E72D297353CC}">
              <c16:uniqueId val="{00000000-FA24-48C8-82E7-E031CF3DDDC1}"/>
            </c:ext>
          </c:extLst>
        </c:ser>
        <c:ser>
          <c:idx val="1"/>
          <c:order val="1"/>
          <c:tx>
            <c:strRef>
              <c:f>'G4 - ART vs BRT by Sector'!$C$2</c:f>
              <c:strCache>
                <c:ptCount val="1"/>
                <c:pt idx="0">
                  <c:v>BRT</c:v>
                </c:pt>
              </c:strCache>
            </c:strRef>
          </c:tx>
          <c:spPr>
            <a:solidFill>
              <a:schemeClr val="accent2"/>
            </a:solidFill>
            <a:ln>
              <a:noFill/>
            </a:ln>
            <a:effectLst/>
          </c:spPr>
          <c:invertIfNegative val="0"/>
          <c:dLbls>
            <c:delete val="1"/>
          </c:dLbls>
          <c:cat>
            <c:strRef>
              <c:f>'G4 - ART vs BRT by Sector'!$A$3:$A$11</c:f>
              <c:strCache>
                <c:ptCount val="9"/>
                <c:pt idx="0">
                  <c:v>1 - Energy sector</c:v>
                </c:pt>
                <c:pt idx="1">
                  <c:v>2 - Production and processing of metals</c:v>
                </c:pt>
                <c:pt idx="2">
                  <c:v>3 - Mineral industry</c:v>
                </c:pt>
                <c:pt idx="3">
                  <c:v>4 - Chemical industry</c:v>
                </c:pt>
                <c:pt idx="4">
                  <c:v>5 - Waste and waste-water management</c:v>
                </c:pt>
                <c:pt idx="5">
                  <c:v>6 - Paper and wood production and processing</c:v>
                </c:pt>
                <c:pt idx="6">
                  <c:v>7 - Intensive livestock production and aquaculture</c:v>
                </c:pt>
                <c:pt idx="7">
                  <c:v>8 - Animal and vegetable products from the food and beverage sector</c:v>
                </c:pt>
                <c:pt idx="8">
                  <c:v>9 - Other activities</c:v>
                </c:pt>
              </c:strCache>
            </c:strRef>
          </c:cat>
          <c:val>
            <c:numRef>
              <c:f>'G4 - ART vs BRT by Sector'!$C$3:$C$11</c:f>
              <c:numCache>
                <c:formatCode>General</c:formatCode>
                <c:ptCount val="9"/>
                <c:pt idx="0">
                  <c:v>399</c:v>
                </c:pt>
                <c:pt idx="1">
                  <c:v>124</c:v>
                </c:pt>
                <c:pt idx="2">
                  <c:v>63</c:v>
                </c:pt>
                <c:pt idx="3">
                  <c:v>320</c:v>
                </c:pt>
                <c:pt idx="4" formatCode="#,##0">
                  <c:v>3700</c:v>
                </c:pt>
                <c:pt idx="5">
                  <c:v>125</c:v>
                </c:pt>
                <c:pt idx="6">
                  <c:v>736</c:v>
                </c:pt>
                <c:pt idx="7">
                  <c:v>324</c:v>
                </c:pt>
                <c:pt idx="8">
                  <c:v>46</c:v>
                </c:pt>
              </c:numCache>
            </c:numRef>
          </c:val>
          <c:extLst>
            <c:ext xmlns:c16="http://schemas.microsoft.com/office/drawing/2014/chart" uri="{C3380CC4-5D6E-409C-BE32-E72D297353CC}">
              <c16:uniqueId val="{00000001-FA24-48C8-82E7-E031CF3DDDC1}"/>
            </c:ext>
          </c:extLst>
        </c:ser>
        <c:dLbls>
          <c:showLegendKey val="0"/>
          <c:showVal val="1"/>
          <c:showCatName val="0"/>
          <c:showSerName val="0"/>
          <c:showPercent val="0"/>
          <c:showBubbleSize val="0"/>
        </c:dLbls>
        <c:gapWidth val="150"/>
        <c:overlap val="100"/>
        <c:axId val="571078448"/>
        <c:axId val="571077136"/>
      </c:barChart>
      <c:catAx>
        <c:axId val="57107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077136"/>
        <c:crosses val="autoZero"/>
        <c:auto val="1"/>
        <c:lblAlgn val="ctr"/>
        <c:lblOffset val="100"/>
        <c:noMultiLvlLbl val="0"/>
      </c:catAx>
      <c:valAx>
        <c:axId val="571077136"/>
        <c:scaling>
          <c:orientation val="minMax"/>
          <c:max val="5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078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3D187-D260-4CDE-89EC-2D074ABB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8729</Words>
  <Characters>49756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SEPA</Company>
  <LinksUpToDate>false</LinksUpToDate>
  <CharactersWithSpaces>58369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dc:creator>
  <cp:keywords/>
  <dc:description/>
  <cp:lastModifiedBy>Bryce, Lorna</cp:lastModifiedBy>
  <cp:revision>4</cp:revision>
  <cp:lastPrinted>2020-09-28T14:36:00Z</cp:lastPrinted>
  <dcterms:created xsi:type="dcterms:W3CDTF">2020-09-28T14:36:00Z</dcterms:created>
  <dcterms:modified xsi:type="dcterms:W3CDTF">2020-09-28T14:41:00Z</dcterms:modified>
</cp:coreProperties>
</file>