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B53F" w14:textId="77777777" w:rsidR="007B57A6" w:rsidRDefault="00521F61">
      <w:pPr>
        <w:spacing w:after="0" w:line="259" w:lineRule="auto"/>
        <w:ind w:left="1" w:right="3754" w:firstLine="0"/>
        <w:jc w:val="left"/>
      </w:pPr>
      <w:r>
        <w:rPr>
          <w:sz w:val="22"/>
        </w:rPr>
        <w:t xml:space="preserve"> </w:t>
      </w:r>
    </w:p>
    <w:p w14:paraId="5E4B28B9" w14:textId="77777777" w:rsidR="007B57A6" w:rsidRDefault="00521F61">
      <w:pPr>
        <w:spacing w:after="0" w:line="259" w:lineRule="auto"/>
        <w:ind w:left="0" w:right="649" w:firstLine="0"/>
        <w:jc w:val="center"/>
      </w:pPr>
      <w:r>
        <w:rPr>
          <w:noProof/>
        </w:rPr>
        <w:drawing>
          <wp:inline distT="0" distB="0" distL="0" distR="0" wp14:anchorId="0478AA46" wp14:editId="2428F8D4">
            <wp:extent cx="1870074" cy="129667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1870074" cy="1296670"/>
                    </a:xfrm>
                    <a:prstGeom prst="rect">
                      <a:avLst/>
                    </a:prstGeom>
                  </pic:spPr>
                </pic:pic>
              </a:graphicData>
            </a:graphic>
          </wp:inline>
        </w:drawing>
      </w:r>
      <w:r>
        <w:rPr>
          <w:sz w:val="22"/>
        </w:rPr>
        <w:t xml:space="preserve"> </w:t>
      </w:r>
    </w:p>
    <w:p w14:paraId="04661E59" w14:textId="77777777" w:rsidR="007B57A6" w:rsidRDefault="00521F61">
      <w:pPr>
        <w:spacing w:after="0" w:line="259" w:lineRule="auto"/>
        <w:ind w:left="0" w:right="649" w:firstLine="0"/>
        <w:jc w:val="center"/>
      </w:pPr>
      <w:r>
        <w:rPr>
          <w:sz w:val="22"/>
        </w:rPr>
        <w:t xml:space="preserve"> </w:t>
      </w:r>
    </w:p>
    <w:p w14:paraId="5CA6E757" w14:textId="77777777" w:rsidR="007B57A6" w:rsidRDefault="00521F61">
      <w:pPr>
        <w:spacing w:after="0" w:line="259" w:lineRule="auto"/>
        <w:ind w:left="0" w:right="649" w:firstLine="0"/>
        <w:jc w:val="center"/>
      </w:pPr>
      <w:r>
        <w:rPr>
          <w:sz w:val="22"/>
        </w:rPr>
        <w:t xml:space="preserve"> </w:t>
      </w:r>
    </w:p>
    <w:p w14:paraId="0A05D87D" w14:textId="77777777" w:rsidR="007B57A6" w:rsidRDefault="00521F61">
      <w:pPr>
        <w:spacing w:after="33" w:line="259" w:lineRule="auto"/>
        <w:ind w:left="0" w:right="649" w:firstLine="0"/>
        <w:jc w:val="center"/>
      </w:pPr>
      <w:r>
        <w:rPr>
          <w:sz w:val="22"/>
        </w:rPr>
        <w:t xml:space="preserve"> </w:t>
      </w:r>
    </w:p>
    <w:p w14:paraId="1D4EEBC2" w14:textId="77777777" w:rsidR="007B57A6" w:rsidRDefault="00521F61">
      <w:pPr>
        <w:spacing w:after="0" w:line="259" w:lineRule="auto"/>
        <w:ind w:left="0" w:right="632" w:firstLine="0"/>
        <w:jc w:val="center"/>
      </w:pPr>
      <w:r>
        <w:rPr>
          <w:b/>
          <w:sz w:val="28"/>
        </w:rPr>
        <w:t xml:space="preserve"> </w:t>
      </w:r>
    </w:p>
    <w:p w14:paraId="77B73BBA" w14:textId="77777777" w:rsidR="007B57A6" w:rsidRDefault="00521F61">
      <w:pPr>
        <w:spacing w:after="0" w:line="259" w:lineRule="auto"/>
        <w:ind w:left="0" w:right="632" w:firstLine="0"/>
        <w:jc w:val="center"/>
      </w:pPr>
      <w:r>
        <w:rPr>
          <w:b/>
          <w:sz w:val="28"/>
        </w:rPr>
        <w:t xml:space="preserve"> </w:t>
      </w:r>
    </w:p>
    <w:p w14:paraId="4B7B4EFF" w14:textId="49CA0407" w:rsidR="007B57A6" w:rsidRDefault="00521F61">
      <w:pPr>
        <w:spacing w:after="0" w:line="259" w:lineRule="auto"/>
        <w:ind w:left="176" w:right="0" w:firstLine="0"/>
        <w:jc w:val="left"/>
      </w:pPr>
      <w:r>
        <w:rPr>
          <w:b/>
          <w:sz w:val="28"/>
        </w:rPr>
        <w:t>Water Environment (Controlled Activities) (Scotland) Regulations</w:t>
      </w:r>
    </w:p>
    <w:p w14:paraId="5492735D" w14:textId="77777777" w:rsidR="007B57A6" w:rsidRDefault="00521F61">
      <w:pPr>
        <w:spacing w:after="0" w:line="259" w:lineRule="auto"/>
        <w:ind w:left="0" w:right="710" w:firstLine="0"/>
        <w:jc w:val="center"/>
      </w:pPr>
      <w:r>
        <w:rPr>
          <w:b/>
          <w:sz w:val="28"/>
        </w:rPr>
        <w:t xml:space="preserve">2011 </w:t>
      </w:r>
    </w:p>
    <w:p w14:paraId="116091C0" w14:textId="77777777" w:rsidR="007B57A6" w:rsidRDefault="00521F61">
      <w:pPr>
        <w:spacing w:after="0" w:line="259" w:lineRule="auto"/>
        <w:ind w:left="0" w:right="632" w:firstLine="0"/>
        <w:jc w:val="center"/>
      </w:pPr>
      <w:r>
        <w:rPr>
          <w:b/>
          <w:sz w:val="28"/>
        </w:rPr>
        <w:t xml:space="preserve"> </w:t>
      </w:r>
    </w:p>
    <w:p w14:paraId="40C439DB" w14:textId="77777777" w:rsidR="007B57A6" w:rsidRDefault="00521F61">
      <w:pPr>
        <w:spacing w:after="86" w:line="259" w:lineRule="auto"/>
        <w:ind w:left="0" w:right="306" w:firstLine="0"/>
        <w:jc w:val="center"/>
      </w:pPr>
      <w:r>
        <w:rPr>
          <w:b/>
          <w:sz w:val="28"/>
        </w:rPr>
        <w:t xml:space="preserve"> </w:t>
      </w:r>
    </w:p>
    <w:p w14:paraId="42EC6EDC" w14:textId="77777777" w:rsidR="007B57A6" w:rsidRDefault="00521F61">
      <w:pPr>
        <w:spacing w:after="0"/>
        <w:ind w:left="10" w:right="384"/>
        <w:jc w:val="center"/>
      </w:pPr>
      <w:r>
        <w:rPr>
          <w:b/>
          <w:sz w:val="40"/>
        </w:rPr>
        <w:t xml:space="preserve">LICENCE APPLICANT GUIDANCE </w:t>
      </w:r>
    </w:p>
    <w:p w14:paraId="0365C1C5" w14:textId="77777777" w:rsidR="007B57A6" w:rsidRDefault="00521F61">
      <w:pPr>
        <w:spacing w:after="0" w:line="259" w:lineRule="auto"/>
        <w:ind w:left="0" w:right="273" w:firstLine="0"/>
        <w:jc w:val="center"/>
      </w:pPr>
      <w:r>
        <w:rPr>
          <w:b/>
          <w:sz w:val="40"/>
        </w:rPr>
        <w:t xml:space="preserve"> </w:t>
      </w:r>
    </w:p>
    <w:p w14:paraId="71C75FDB" w14:textId="0B7F5392" w:rsidR="00C1754E" w:rsidRDefault="00521F61" w:rsidP="00C1754E">
      <w:pPr>
        <w:spacing w:after="0" w:line="259" w:lineRule="auto"/>
        <w:ind w:left="423" w:right="0" w:firstLine="0"/>
        <w:jc w:val="left"/>
        <w:rPr>
          <w:b/>
          <w:sz w:val="40"/>
        </w:rPr>
      </w:pPr>
      <w:r>
        <w:rPr>
          <w:b/>
          <w:sz w:val="40"/>
        </w:rPr>
        <w:t>FORM B</w:t>
      </w:r>
      <w:r w:rsidR="003C7AAB">
        <w:rPr>
          <w:b/>
          <w:sz w:val="40"/>
        </w:rPr>
        <w:t>1</w:t>
      </w:r>
      <w:r>
        <w:rPr>
          <w:b/>
          <w:sz w:val="40"/>
        </w:rPr>
        <w:t xml:space="preserve"> – </w:t>
      </w:r>
      <w:bookmarkStart w:id="0" w:name="_Hlk124780114"/>
      <w:r>
        <w:rPr>
          <w:b/>
          <w:sz w:val="40"/>
        </w:rPr>
        <w:t xml:space="preserve">POINT SOURCE DISCHARGES </w:t>
      </w:r>
    </w:p>
    <w:p w14:paraId="08B544BB" w14:textId="32F3B8B4" w:rsidR="007B57A6" w:rsidRDefault="00521F61">
      <w:pPr>
        <w:spacing w:after="0"/>
        <w:ind w:left="10" w:right="0"/>
        <w:jc w:val="center"/>
      </w:pPr>
      <w:r>
        <w:rPr>
          <w:b/>
          <w:sz w:val="40"/>
        </w:rPr>
        <w:t>(</w:t>
      </w:r>
      <w:r w:rsidR="00095AEA">
        <w:rPr>
          <w:b/>
          <w:sz w:val="40"/>
        </w:rPr>
        <w:t>FOUL ONLY SEWAGE</w:t>
      </w:r>
      <w:r>
        <w:rPr>
          <w:b/>
          <w:sz w:val="40"/>
        </w:rPr>
        <w:t xml:space="preserve">) </w:t>
      </w:r>
    </w:p>
    <w:bookmarkEnd w:id="0"/>
    <w:p w14:paraId="2D1A6A44" w14:textId="77777777" w:rsidR="007B57A6" w:rsidRDefault="00521F61">
      <w:pPr>
        <w:spacing w:after="0" w:line="259" w:lineRule="auto"/>
        <w:ind w:left="0" w:right="323" w:firstLine="0"/>
        <w:jc w:val="center"/>
      </w:pPr>
      <w:r>
        <w:rPr>
          <w:b/>
          <w:sz w:val="22"/>
        </w:rPr>
        <w:t xml:space="preserve"> </w:t>
      </w:r>
    </w:p>
    <w:p w14:paraId="78829184" w14:textId="77777777" w:rsidR="007B57A6" w:rsidRDefault="00521F61">
      <w:pPr>
        <w:spacing w:after="0" w:line="259" w:lineRule="auto"/>
        <w:ind w:left="1" w:right="0" w:firstLine="0"/>
        <w:jc w:val="left"/>
      </w:pPr>
      <w:r>
        <w:t xml:space="preserve"> </w:t>
      </w:r>
    </w:p>
    <w:p w14:paraId="67D6BC5D" w14:textId="77777777" w:rsidR="00A6680E" w:rsidRDefault="00A6680E">
      <w:pPr>
        <w:ind w:left="-4" w:right="375"/>
      </w:pPr>
    </w:p>
    <w:p w14:paraId="07E89DF0" w14:textId="78310AA7" w:rsidR="007B57A6" w:rsidRDefault="00521F61">
      <w:pPr>
        <w:pStyle w:val="Heading2"/>
        <w:ind w:left="-4"/>
      </w:pPr>
      <w:r>
        <w:t xml:space="preserve">APPLICANT NOTES TO COMPLETING THE </w:t>
      </w:r>
      <w:r w:rsidR="00C7441E">
        <w:t xml:space="preserve">GROUND </w:t>
      </w:r>
      <w:r>
        <w:t xml:space="preserve">INVESTIGATION FORM </w:t>
      </w:r>
      <w:r w:rsidR="00B8565F">
        <w:t>(</w:t>
      </w:r>
      <w:r w:rsidR="00B919EA">
        <w:t>ANNEX 1)</w:t>
      </w:r>
    </w:p>
    <w:p w14:paraId="3848BFE8" w14:textId="324FEDA8" w:rsidR="007B57A6" w:rsidRDefault="00521F61" w:rsidP="00456A81">
      <w:pPr>
        <w:spacing w:after="21" w:line="259" w:lineRule="auto"/>
        <w:ind w:left="0" w:right="0" w:firstLine="0"/>
        <w:jc w:val="left"/>
      </w:pPr>
      <w:r>
        <w:rPr>
          <w:b/>
        </w:rPr>
        <w:t xml:space="preserve"> </w:t>
      </w:r>
      <w:r>
        <w:t xml:space="preserve"> </w:t>
      </w:r>
    </w:p>
    <w:p w14:paraId="10CC21C2" w14:textId="77777777" w:rsidR="00C43ADB" w:rsidRDefault="00FF6FDE" w:rsidP="00C43ADB">
      <w:pPr>
        <w:pStyle w:val="ListParagraph"/>
        <w:spacing w:after="95"/>
        <w:ind w:left="10" w:right="497" w:firstLine="0"/>
      </w:pPr>
      <w:r w:rsidRPr="00A361C5">
        <w:rPr>
          <w:vertAlign w:val="superscript"/>
        </w:rPr>
        <w:t>1</w:t>
      </w:r>
      <w:r>
        <w:tab/>
      </w:r>
      <w:r w:rsidR="00483777">
        <w:t>Field drains can provide a rapid flow path for any discharged effluent to be routed into surface waters. Due to the risk of contamination of water courses any discharges within 10m of a field drain of should be relocated unless a scientific justification can be provided to demonstrate that these discharges will not pose a risk to environment.</w:t>
      </w:r>
    </w:p>
    <w:p w14:paraId="2F2AAF3E" w14:textId="77777777" w:rsidR="00C43ADB" w:rsidRDefault="00C43ADB" w:rsidP="00C43ADB">
      <w:pPr>
        <w:pStyle w:val="ListParagraph"/>
        <w:spacing w:after="95"/>
        <w:ind w:left="10" w:right="497" w:firstLine="0"/>
      </w:pPr>
    </w:p>
    <w:p w14:paraId="2BB6DD0D" w14:textId="77777777" w:rsidR="00C43ADB" w:rsidRDefault="00C43ADB" w:rsidP="00C43ADB">
      <w:pPr>
        <w:pStyle w:val="ListParagraph"/>
        <w:spacing w:after="95"/>
        <w:ind w:left="10" w:right="497" w:firstLine="0"/>
      </w:pPr>
      <w:r w:rsidRPr="00A361C5">
        <w:rPr>
          <w:vertAlign w:val="superscript"/>
        </w:rPr>
        <w:t>2</w:t>
      </w:r>
      <w:r>
        <w:tab/>
      </w:r>
      <w:r w:rsidR="00483777">
        <w:t>A check should be carried out to determine the nature and the locations of water abstractions in the area as these could potentially be impacted by the discharge. The location of these should be marked on a map and it should be indicated whether the abstraction is from a surface water (SW), spring (S), well (W) or borehole (B). If the site is supplied by a private water supply, please also detail this supply on the form and map.</w:t>
      </w:r>
      <w:r w:rsidR="00483777" w:rsidRPr="681303E7">
        <w:rPr>
          <w:vertAlign w:val="superscript"/>
        </w:rPr>
        <w:t xml:space="preserve"> </w:t>
      </w:r>
      <w:r w:rsidR="00483777">
        <w:t>If there are any abstractions within 50m of the discharge, then you should consider relocating the discharge since the discharge may pose a high risk of contamination to these supplies.</w:t>
      </w:r>
    </w:p>
    <w:p w14:paraId="54BB72B2" w14:textId="77777777" w:rsidR="00C43ADB" w:rsidRDefault="00C43ADB" w:rsidP="00C43ADB">
      <w:pPr>
        <w:pStyle w:val="ListParagraph"/>
        <w:spacing w:after="95"/>
        <w:ind w:left="10" w:right="497" w:firstLine="0"/>
      </w:pPr>
    </w:p>
    <w:p w14:paraId="383C017B" w14:textId="77777777" w:rsidR="001F058F" w:rsidRDefault="00C43ADB" w:rsidP="001F058F">
      <w:pPr>
        <w:pStyle w:val="ListParagraph"/>
        <w:spacing w:after="95"/>
        <w:ind w:left="10" w:right="497" w:firstLine="0"/>
      </w:pPr>
      <w:r w:rsidRPr="00A361C5">
        <w:rPr>
          <w:vertAlign w:val="superscript"/>
        </w:rPr>
        <w:t>3</w:t>
      </w:r>
      <w:r w:rsidRPr="00A361C5">
        <w:rPr>
          <w:vertAlign w:val="superscript"/>
        </w:rPr>
        <w:tab/>
      </w:r>
      <w:r w:rsidR="565D6320">
        <w:t>Details of the slope of the land should be provided. It is more difficult to install pipework and ensure that the wastewater will stay in the soil if the land has an extreme slope. For this reason</w:t>
      </w:r>
      <w:r w:rsidR="002A2B11">
        <w:t>,</w:t>
      </w:r>
      <w:r w:rsidR="565D6320">
        <w:t xml:space="preserve"> areas with extreme slopes are not suitable for infiltration systems unless it can be demonstrated via on site assessment that the infiltration system will adequately function in these areas.  </w:t>
      </w:r>
    </w:p>
    <w:p w14:paraId="78653BF5" w14:textId="70BB17C1" w:rsidR="00B32627" w:rsidRDefault="001F058F" w:rsidP="00B32627">
      <w:pPr>
        <w:pStyle w:val="ListParagraph"/>
        <w:spacing w:after="95"/>
        <w:ind w:left="10" w:right="497" w:firstLine="0"/>
      </w:pPr>
      <w:r w:rsidRPr="00A361C5">
        <w:rPr>
          <w:vertAlign w:val="superscript"/>
        </w:rPr>
        <w:lastRenderedPageBreak/>
        <w:t>4</w:t>
      </w:r>
      <w:r>
        <w:tab/>
      </w:r>
      <w:r w:rsidR="50F800A2">
        <w:t xml:space="preserve">This information should be obtained from trial pits or boreholes if available. Where the depth to the water table is determined from trial pits and </w:t>
      </w:r>
      <w:r w:rsidR="0015615E">
        <w:t>is</w:t>
      </w:r>
      <w:r w:rsidR="0015615E">
        <w:t xml:space="preserve"> </w:t>
      </w:r>
      <w:r w:rsidR="50F800A2">
        <w:t xml:space="preserve">assessed in the summer when the water table is likely to be at a low level, the soil should be examined for the presence of mottling, which can indicate the position of a seasonally </w:t>
      </w:r>
      <w:proofErr w:type="gramStart"/>
      <w:r w:rsidR="50F800A2">
        <w:t>high water</w:t>
      </w:r>
      <w:proofErr w:type="gramEnd"/>
      <w:r w:rsidR="50F800A2">
        <w:t xml:space="preserve"> table.</w:t>
      </w:r>
    </w:p>
    <w:p w14:paraId="25643C12" w14:textId="77777777" w:rsidR="00B32627" w:rsidRDefault="00B32627" w:rsidP="00B32627">
      <w:pPr>
        <w:pStyle w:val="ListParagraph"/>
        <w:spacing w:after="95"/>
        <w:ind w:left="10" w:right="497" w:firstLine="0"/>
      </w:pPr>
    </w:p>
    <w:p w14:paraId="28A620BF" w14:textId="77777777" w:rsidR="00374FA4" w:rsidRDefault="00B32627" w:rsidP="00374FA4">
      <w:pPr>
        <w:pStyle w:val="ListParagraph"/>
        <w:spacing w:after="95"/>
        <w:ind w:left="10" w:right="497" w:firstLine="0"/>
      </w:pPr>
      <w:r w:rsidRPr="00A361C5">
        <w:rPr>
          <w:vertAlign w:val="superscript"/>
        </w:rPr>
        <w:t>5</w:t>
      </w:r>
      <w:r>
        <w:tab/>
      </w:r>
      <w:r w:rsidR="00521F61">
        <w:t>Trial pit logs should be recorded on the trial pit log table provided or in a similar format. The description of the soil/subsoil should be carried out in accordance with BS5930:</w:t>
      </w:r>
      <w:r w:rsidR="00EC129B">
        <w:t>2015</w:t>
      </w:r>
      <w:r w:rsidR="002902AF">
        <w:t>(+A1: 2020)</w:t>
      </w:r>
      <w:r w:rsidR="00521F61">
        <w:t xml:space="preserve">. This part of the form should be replicated depending on the number of trial pits which have been constructed. </w:t>
      </w:r>
      <w:r w:rsidR="00A865CD">
        <w:t xml:space="preserve">A summary of the soil type </w:t>
      </w:r>
      <w:r w:rsidR="00592BC7">
        <w:t>should</w:t>
      </w:r>
      <w:r w:rsidR="00A865CD">
        <w:t xml:space="preserve"> be </w:t>
      </w:r>
      <w:r w:rsidR="00592BC7">
        <w:t>included</w:t>
      </w:r>
      <w:r w:rsidR="00A865CD">
        <w:t xml:space="preserve"> by ticking the relevant box.</w:t>
      </w:r>
    </w:p>
    <w:p w14:paraId="0DE71D61" w14:textId="77777777" w:rsidR="00374FA4" w:rsidRDefault="00374FA4" w:rsidP="00374FA4">
      <w:pPr>
        <w:pStyle w:val="ListParagraph"/>
        <w:spacing w:after="95"/>
        <w:ind w:left="10" w:right="497" w:firstLine="0"/>
      </w:pPr>
    </w:p>
    <w:p w14:paraId="7E66EA8E" w14:textId="77777777" w:rsidR="00374FA4" w:rsidRDefault="00374FA4" w:rsidP="00374FA4">
      <w:pPr>
        <w:pStyle w:val="ListParagraph"/>
        <w:spacing w:after="95"/>
        <w:ind w:left="10" w:right="497" w:firstLine="0"/>
      </w:pPr>
      <w:r w:rsidRPr="00A361C5">
        <w:rPr>
          <w:vertAlign w:val="superscript"/>
        </w:rPr>
        <w:t>6</w:t>
      </w:r>
      <w:r>
        <w:tab/>
      </w:r>
      <w:r w:rsidR="00521F61">
        <w:t>Superficial deposits overly bedrock and have a primary porosity whereby water can move through the pore spaces between the grains of material. Where these materials are unsaturated, pollutant attenuation processes are often enhanced. The thickness of these deposits (or depth to bedrock from the surface) can be obtained from the trial pit or borehole log.</w:t>
      </w:r>
    </w:p>
    <w:p w14:paraId="5C00A468" w14:textId="77777777" w:rsidR="00374FA4" w:rsidRDefault="00374FA4" w:rsidP="00374FA4">
      <w:pPr>
        <w:pStyle w:val="ListParagraph"/>
        <w:spacing w:after="95"/>
        <w:ind w:left="10" w:right="497" w:firstLine="0"/>
      </w:pPr>
    </w:p>
    <w:p w14:paraId="226C7AFB" w14:textId="7216614F" w:rsidR="007B57A6" w:rsidRDefault="00374FA4" w:rsidP="00374FA4">
      <w:pPr>
        <w:pStyle w:val="ListParagraph"/>
        <w:spacing w:after="95"/>
        <w:ind w:left="10" w:right="497" w:firstLine="0"/>
      </w:pPr>
      <w:r w:rsidRPr="00A361C5">
        <w:rPr>
          <w:vertAlign w:val="superscript"/>
        </w:rPr>
        <w:t>7</w:t>
      </w:r>
      <w:r w:rsidRPr="00A361C5">
        <w:rPr>
          <w:vertAlign w:val="superscript"/>
        </w:rPr>
        <w:tab/>
      </w:r>
      <w:r w:rsidR="00521F61">
        <w:t xml:space="preserve">Part 2 of the form is to be completed for sewage discharges of greater than </w:t>
      </w:r>
      <w:r w:rsidR="000B05D2">
        <w:t xml:space="preserve">or equal to </w:t>
      </w:r>
      <w:r w:rsidR="00521F61">
        <w:t xml:space="preserve">50PE. </w:t>
      </w:r>
    </w:p>
    <w:p w14:paraId="36B6A1C3" w14:textId="7D526163" w:rsidR="007B57A6" w:rsidRDefault="00521F61">
      <w:pPr>
        <w:spacing w:after="103"/>
        <w:ind w:left="-4" w:right="499"/>
      </w:pPr>
      <w:r>
        <w:t xml:space="preserve">To complete this </w:t>
      </w:r>
      <w:proofErr w:type="gramStart"/>
      <w:r>
        <w:t>section</w:t>
      </w:r>
      <w:proofErr w:type="gramEnd"/>
      <w:r>
        <w:t xml:space="preserve"> it is likely that at least 3 boreholes or </w:t>
      </w:r>
      <w:r w:rsidR="001746B3">
        <w:t>piezometers</w:t>
      </w:r>
      <w:r>
        <w:t xml:space="preserve"> should be constructed. Consideration should be given when drilling and positioning these boreholes for their potential use as ongoing monitoring points. </w:t>
      </w:r>
      <w:r w:rsidR="00A54ACF">
        <w:t xml:space="preserve">In </w:t>
      </w:r>
      <w:proofErr w:type="gramStart"/>
      <w:r w:rsidR="00A54ACF">
        <w:t>general</w:t>
      </w:r>
      <w:proofErr w:type="gramEnd"/>
      <w:r w:rsidR="00A54ACF">
        <w:t xml:space="preserve"> at least one down gradient monitoring point will be required.  </w:t>
      </w:r>
    </w:p>
    <w:p w14:paraId="022ADAF5" w14:textId="543491EF" w:rsidR="007B57A6" w:rsidRDefault="007B57A6">
      <w:pPr>
        <w:spacing w:after="0" w:line="259" w:lineRule="auto"/>
        <w:ind w:left="1" w:right="0" w:firstLine="0"/>
        <w:jc w:val="left"/>
      </w:pPr>
    </w:p>
    <w:p w14:paraId="24985EC6" w14:textId="4EEFBE8C" w:rsidR="007B57A6" w:rsidRDefault="007B57A6" w:rsidP="003C7AAB">
      <w:pPr>
        <w:spacing w:after="0" w:line="259" w:lineRule="auto"/>
        <w:ind w:left="1" w:right="0" w:firstLine="0"/>
        <w:jc w:val="left"/>
      </w:pPr>
    </w:p>
    <w:sectPr w:rsidR="007B57A6">
      <w:headerReference w:type="even" r:id="rId8"/>
      <w:headerReference w:type="default" r:id="rId9"/>
      <w:footerReference w:type="even" r:id="rId10"/>
      <w:footerReference w:type="default" r:id="rId11"/>
      <w:headerReference w:type="first" r:id="rId12"/>
      <w:footerReference w:type="first" r:id="rId13"/>
      <w:pgSz w:w="12240" w:h="15840"/>
      <w:pgMar w:top="1420" w:right="1056" w:bottom="1483" w:left="1439" w:header="707"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A208" w14:textId="77777777" w:rsidR="00E44C6F" w:rsidRDefault="00E44C6F">
      <w:pPr>
        <w:spacing w:after="0" w:line="240" w:lineRule="auto"/>
      </w:pPr>
      <w:r>
        <w:separator/>
      </w:r>
    </w:p>
  </w:endnote>
  <w:endnote w:type="continuationSeparator" w:id="0">
    <w:p w14:paraId="4557722F" w14:textId="77777777" w:rsidR="00E44C6F" w:rsidRDefault="00E44C6F">
      <w:pPr>
        <w:spacing w:after="0" w:line="240" w:lineRule="auto"/>
      </w:pPr>
      <w:r>
        <w:continuationSeparator/>
      </w:r>
    </w:p>
  </w:endnote>
  <w:endnote w:type="continuationNotice" w:id="1">
    <w:p w14:paraId="726DABB0" w14:textId="77777777" w:rsidR="00E44C6F" w:rsidRDefault="00E44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669F" w14:textId="77777777" w:rsidR="007B57A6" w:rsidRDefault="00521F61">
    <w:pPr>
      <w:tabs>
        <w:tab w:val="center" w:pos="4679"/>
        <w:tab w:val="center" w:pos="7955"/>
      </w:tabs>
      <w:spacing w:after="0" w:line="259" w:lineRule="auto"/>
      <w:ind w:left="0" w:right="0" w:firstLine="0"/>
      <w:jc w:val="left"/>
    </w:pPr>
    <w:r>
      <w:rPr>
        <w:sz w:val="18"/>
      </w:rPr>
      <w:t xml:space="preserve">Jun 2015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B91A8C">
      <w:fldChar w:fldCharType="begin"/>
    </w:r>
    <w:r w:rsidR="00B91A8C">
      <w:instrText>NUMPAGES   \* MERGEFORMAT</w:instrText>
    </w:r>
    <w:r w:rsidR="00B91A8C">
      <w:fldChar w:fldCharType="separate"/>
    </w:r>
    <w:r>
      <w:rPr>
        <w:sz w:val="18"/>
      </w:rPr>
      <w:t>9</w:t>
    </w:r>
    <w:r w:rsidR="00B91A8C">
      <w:rPr>
        <w:sz w:val="18"/>
      </w:rPr>
      <w:fldChar w:fldCharType="end"/>
    </w:r>
    <w:r>
      <w:rPr>
        <w:sz w:val="18"/>
      </w:rPr>
      <w:t xml:space="preserve"> </w:t>
    </w:r>
    <w:r>
      <w:rPr>
        <w:sz w:val="18"/>
      </w:rPr>
      <w:tab/>
      <w:t xml:space="preserve">TAKEN FROM CAR-LAG-ALL v6.1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E52C" w14:textId="289B15BD" w:rsidR="007B57A6" w:rsidRDefault="00521F61">
    <w:pPr>
      <w:tabs>
        <w:tab w:val="center" w:pos="4679"/>
        <w:tab w:val="center" w:pos="7955"/>
      </w:tabs>
      <w:spacing w:after="0" w:line="259" w:lineRule="auto"/>
      <w:ind w:left="0" w:right="0" w:firstLine="0"/>
      <w:jc w:val="left"/>
    </w:pPr>
    <w:r>
      <w:rPr>
        <w:noProof/>
        <w:sz w:val="18"/>
      </w:rPr>
      <mc:AlternateContent>
        <mc:Choice Requires="wps">
          <w:drawing>
            <wp:anchor distT="0" distB="0" distL="114300" distR="114300" simplePos="0" relativeHeight="251658241" behindDoc="0" locked="0" layoutInCell="0" allowOverlap="1" wp14:anchorId="03933A6C" wp14:editId="187EB18E">
              <wp:simplePos x="0" y="0"/>
              <wp:positionH relativeFrom="page">
                <wp:posOffset>0</wp:posOffset>
              </wp:positionH>
              <wp:positionV relativeFrom="page">
                <wp:posOffset>9594850</wp:posOffset>
              </wp:positionV>
              <wp:extent cx="7772400" cy="273050"/>
              <wp:effectExtent l="0" t="0" r="0" b="12700"/>
              <wp:wrapNone/>
              <wp:docPr id="2" name="MSIPCM571641e29e5dbba28320284e" descr="{&quot;HashCode&quot;:131653798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FFFDBC" w14:textId="39BD5234" w:rsidR="00521F61" w:rsidRPr="00E716D8" w:rsidRDefault="00E716D8" w:rsidP="00E716D8">
                          <w:pPr>
                            <w:spacing w:after="0"/>
                            <w:ind w:left="0" w:right="0"/>
                            <w:jc w:val="center"/>
                            <w:rPr>
                              <w:rFonts w:ascii="Calibri" w:hAnsi="Calibri" w:cs="Calibri"/>
                            </w:rPr>
                          </w:pPr>
                          <w:r w:rsidRPr="00E716D8">
                            <w:rPr>
                              <w:rFonts w:ascii="Calibri" w:hAnsi="Calibri" w:cs="Calibri"/>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933A6C" id="_x0000_t202" coordsize="21600,21600" o:spt="202" path="m,l,21600r21600,l21600,xe">
              <v:stroke joinstyle="miter"/>
              <v:path gradientshapeok="t" o:connecttype="rect"/>
            </v:shapetype>
            <v:shape id="MSIPCM571641e29e5dbba28320284e" o:spid="_x0000_s1027" type="#_x0000_t202" alt="{&quot;HashCode&quot;:1316537984,&quot;Height&quot;:792.0,&quot;Width&quot;:612.0,&quot;Placement&quot;:&quot;Footer&quot;,&quot;Index&quot;:&quot;Primary&quot;,&quot;Section&quot;:1,&quot;Top&quot;:0.0,&quot;Left&quot;:0.0}" style="position:absolute;margin-left:0;margin-top:755.5pt;width:612pt;height:21.5pt;z-index:25165849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6EFFFDBC" w14:textId="39BD5234" w:rsidR="00521F61" w:rsidRPr="00E716D8" w:rsidRDefault="00E716D8" w:rsidP="00E716D8">
                    <w:pPr>
                      <w:spacing w:after="0"/>
                      <w:ind w:left="0" w:right="0"/>
                      <w:jc w:val="center"/>
                      <w:rPr>
                        <w:rFonts w:ascii="Calibri" w:hAnsi="Calibri" w:cs="Calibri"/>
                      </w:rPr>
                    </w:pPr>
                    <w:r w:rsidRPr="00E716D8">
                      <w:rPr>
                        <w:rFonts w:ascii="Calibri" w:hAnsi="Calibri" w:cs="Calibri"/>
                      </w:rPr>
                      <w:t>PUBLIC</w:t>
                    </w:r>
                  </w:p>
                </w:txbxContent>
              </v:textbox>
              <w10:wrap anchorx="page" anchory="page"/>
            </v:shape>
          </w:pict>
        </mc:Fallback>
      </mc:AlternateContent>
    </w:r>
    <w:r w:rsidR="003000ED">
      <w:rPr>
        <w:sz w:val="18"/>
      </w:rPr>
      <w:t>Mar</w:t>
    </w:r>
    <w:r w:rsidR="00C1754E">
      <w:rPr>
        <w:sz w:val="18"/>
      </w:rPr>
      <w:t xml:space="preserve"> 2023</w:t>
    </w: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B91A8C">
      <w:fldChar w:fldCharType="begin"/>
    </w:r>
    <w:r w:rsidR="00B91A8C">
      <w:instrText>NUMPAGES   \* MERGEFORMAT</w:instrText>
    </w:r>
    <w:r w:rsidR="00B91A8C">
      <w:fldChar w:fldCharType="separate"/>
    </w:r>
    <w:r>
      <w:rPr>
        <w:sz w:val="18"/>
      </w:rPr>
      <w:t>9</w:t>
    </w:r>
    <w:r w:rsidR="00B91A8C">
      <w:rPr>
        <w:sz w:val="18"/>
      </w:rPr>
      <w:fldChar w:fldCharType="end"/>
    </w:r>
    <w:r>
      <w:rPr>
        <w:sz w:val="18"/>
      </w:rPr>
      <w:t xml:space="preserve"> </w:t>
    </w:r>
    <w:r>
      <w:rPr>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468C" w14:textId="77777777" w:rsidR="007B57A6" w:rsidRDefault="00521F61">
    <w:pPr>
      <w:tabs>
        <w:tab w:val="center" w:pos="4679"/>
        <w:tab w:val="center" w:pos="7955"/>
      </w:tabs>
      <w:spacing w:after="0" w:line="259" w:lineRule="auto"/>
      <w:ind w:left="0" w:right="0" w:firstLine="0"/>
      <w:jc w:val="left"/>
    </w:pPr>
    <w:r>
      <w:rPr>
        <w:sz w:val="18"/>
      </w:rPr>
      <w:t xml:space="preserve">Jun 2015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B91A8C">
      <w:fldChar w:fldCharType="begin"/>
    </w:r>
    <w:r w:rsidR="00B91A8C">
      <w:instrText>NUMPAGES   \* MERGEFORMAT</w:instrText>
    </w:r>
    <w:r w:rsidR="00B91A8C">
      <w:fldChar w:fldCharType="separate"/>
    </w:r>
    <w:r>
      <w:rPr>
        <w:sz w:val="18"/>
      </w:rPr>
      <w:t>9</w:t>
    </w:r>
    <w:r w:rsidR="00B91A8C">
      <w:rPr>
        <w:sz w:val="18"/>
      </w:rPr>
      <w:fldChar w:fldCharType="end"/>
    </w:r>
    <w:r>
      <w:rPr>
        <w:sz w:val="18"/>
      </w:rPr>
      <w:t xml:space="preserve"> </w:t>
    </w:r>
    <w:r>
      <w:rPr>
        <w:sz w:val="18"/>
      </w:rPr>
      <w:tab/>
      <w:t xml:space="preserve">TAKEN FROM CAR-LAG-ALL v6.1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A39E" w14:textId="77777777" w:rsidR="00E44C6F" w:rsidRDefault="00E44C6F">
      <w:pPr>
        <w:spacing w:after="0" w:line="240" w:lineRule="auto"/>
      </w:pPr>
      <w:r>
        <w:separator/>
      </w:r>
    </w:p>
  </w:footnote>
  <w:footnote w:type="continuationSeparator" w:id="0">
    <w:p w14:paraId="1EBB4AA2" w14:textId="77777777" w:rsidR="00E44C6F" w:rsidRDefault="00E44C6F">
      <w:pPr>
        <w:spacing w:after="0" w:line="240" w:lineRule="auto"/>
      </w:pPr>
      <w:r>
        <w:continuationSeparator/>
      </w:r>
    </w:p>
  </w:footnote>
  <w:footnote w:type="continuationNotice" w:id="1">
    <w:p w14:paraId="155B45C3" w14:textId="77777777" w:rsidR="00E44C6F" w:rsidRDefault="00E44C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1EB6" w14:textId="77777777" w:rsidR="007B57A6" w:rsidRDefault="00521F61">
    <w:pPr>
      <w:tabs>
        <w:tab w:val="center" w:pos="4678"/>
        <w:tab w:val="center" w:pos="9004"/>
      </w:tabs>
      <w:spacing w:after="0" w:line="259" w:lineRule="auto"/>
      <w:ind w:left="0" w:right="0" w:firstLine="0"/>
      <w:jc w:val="left"/>
    </w:pPr>
    <w:r>
      <w:rPr>
        <w:sz w:val="18"/>
      </w:rPr>
      <w:t xml:space="preserve">CAR LICENCE APPLICANT GUIDANCE </w:t>
    </w:r>
    <w:r>
      <w:rPr>
        <w:sz w:val="18"/>
      </w:rPr>
      <w:tab/>
      <w:t xml:space="preserve"> </w:t>
    </w:r>
    <w:r>
      <w:rPr>
        <w:sz w:val="18"/>
      </w:rPr>
      <w:tab/>
      <w:t xml:space="preserve">FORM 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F99" w14:textId="2431D549" w:rsidR="00C1754E" w:rsidRPr="00C1754E" w:rsidRDefault="00521F61" w:rsidP="00C1754E">
    <w:pPr>
      <w:tabs>
        <w:tab w:val="center" w:pos="4678"/>
        <w:tab w:val="center" w:pos="9004"/>
      </w:tabs>
      <w:spacing w:after="0" w:line="259" w:lineRule="auto"/>
      <w:ind w:left="0" w:right="0" w:firstLine="0"/>
      <w:jc w:val="left"/>
      <w:rPr>
        <w:sz w:val="18"/>
      </w:rPr>
    </w:pPr>
    <w:r>
      <w:rPr>
        <w:noProof/>
        <w:sz w:val="18"/>
      </w:rPr>
      <mc:AlternateContent>
        <mc:Choice Requires="wps">
          <w:drawing>
            <wp:anchor distT="0" distB="0" distL="114300" distR="114300" simplePos="0" relativeHeight="251658240" behindDoc="0" locked="0" layoutInCell="0" allowOverlap="1" wp14:anchorId="0264AA07" wp14:editId="6DD8B1EE">
              <wp:simplePos x="0" y="0"/>
              <wp:positionH relativeFrom="page">
                <wp:posOffset>0</wp:posOffset>
              </wp:positionH>
              <wp:positionV relativeFrom="page">
                <wp:posOffset>190500</wp:posOffset>
              </wp:positionV>
              <wp:extent cx="7772400" cy="273050"/>
              <wp:effectExtent l="0" t="0" r="0" b="12700"/>
              <wp:wrapNone/>
              <wp:docPr id="1" name="MSIPCM2e4243b39354be037d14997c" descr="{&quot;HashCode&quot;:129240041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860A2" w14:textId="397E9CE6" w:rsidR="00521F61" w:rsidRPr="00E716D8" w:rsidRDefault="00E716D8" w:rsidP="00E716D8">
                          <w:pPr>
                            <w:spacing w:after="0"/>
                            <w:ind w:left="0" w:right="0"/>
                            <w:jc w:val="center"/>
                            <w:rPr>
                              <w:rFonts w:ascii="Calibri" w:hAnsi="Calibri" w:cs="Calibri"/>
                            </w:rPr>
                          </w:pPr>
                          <w:r w:rsidRPr="00E716D8">
                            <w:rPr>
                              <w:rFonts w:ascii="Calibri" w:hAnsi="Calibri" w:cs="Calibri"/>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64AA07" id="_x0000_t202" coordsize="21600,21600" o:spt="202" path="m,l,21600r21600,l21600,xe">
              <v:stroke joinstyle="miter"/>
              <v:path gradientshapeok="t" o:connecttype="rect"/>
            </v:shapetype>
            <v:shape id="MSIPCM2e4243b39354be037d14997c" o:spid="_x0000_s1026" type="#_x0000_t202" alt="{&quot;HashCode&quot;:1292400415,&quot;Height&quot;:792.0,&quot;Width&quot;:612.0,&quot;Placement&quot;:&quot;Header&quot;,&quot;Index&quot;:&quot;Primary&quot;,&quot;Section&quot;:1,&quot;Top&quot;:0.0,&quot;Left&quot;:0.0}" style="position:absolute;margin-left:0;margin-top:15pt;width:612pt;height:21.5pt;z-index:2516582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o:allowincell="f" filled="f" stroked="f" strokeweight=".5pt">
              <v:textbox inset=",0,,0">
                <w:txbxContent>
                  <w:p w14:paraId="06F860A2" w14:textId="397E9CE6" w:rsidR="00521F61" w:rsidRPr="00E716D8" w:rsidRDefault="00E716D8" w:rsidP="00E716D8">
                    <w:pPr>
                      <w:spacing w:after="0"/>
                      <w:ind w:left="0" w:right="0"/>
                      <w:jc w:val="center"/>
                      <w:rPr>
                        <w:rFonts w:ascii="Calibri" w:hAnsi="Calibri" w:cs="Calibri"/>
                      </w:rPr>
                    </w:pPr>
                    <w:r w:rsidRPr="00E716D8">
                      <w:rPr>
                        <w:rFonts w:ascii="Calibri" w:hAnsi="Calibri" w:cs="Calibri"/>
                      </w:rPr>
                      <w:t>PUBLIC</w:t>
                    </w:r>
                  </w:p>
                </w:txbxContent>
              </v:textbox>
              <w10:wrap anchorx="page" anchory="page"/>
            </v:shape>
          </w:pict>
        </mc:Fallback>
      </mc:AlternateContent>
    </w:r>
    <w:r>
      <w:rPr>
        <w:sz w:val="18"/>
      </w:rPr>
      <w:t xml:space="preserve">CAR LICENCE APPLICANT GUIDANCE </w:t>
    </w:r>
    <w:r>
      <w:rPr>
        <w:sz w:val="18"/>
      </w:rPr>
      <w:tab/>
      <w:t xml:space="preserve"> </w:t>
    </w:r>
    <w:r>
      <w:rPr>
        <w:sz w:val="18"/>
      </w:rPr>
      <w:tab/>
      <w:t>FORM B</w:t>
    </w:r>
    <w:r w:rsidR="003C7AAB">
      <w:rPr>
        <w:sz w:val="18"/>
      </w:rPr>
      <w:t>1</w:t>
    </w:r>
    <w:r>
      <w:rPr>
        <w:sz w:val="18"/>
      </w:rPr>
      <w:t xml:space="preserve"> </w:t>
    </w:r>
    <w:r w:rsidR="00C1754E" w:rsidRPr="00C1754E">
      <w:rPr>
        <w:sz w:val="18"/>
      </w:rPr>
      <w:t xml:space="preserve">POINT SOURCE DISCHARGES </w:t>
    </w:r>
  </w:p>
  <w:p w14:paraId="0E92EAC0" w14:textId="2C46D570" w:rsidR="007B57A6" w:rsidRDefault="00C1754E" w:rsidP="00C1754E">
    <w:pPr>
      <w:tabs>
        <w:tab w:val="center" w:pos="4678"/>
        <w:tab w:val="center" w:pos="9004"/>
      </w:tabs>
      <w:spacing w:after="0" w:line="259" w:lineRule="auto"/>
      <w:ind w:left="0" w:right="0" w:firstLine="0"/>
      <w:jc w:val="left"/>
    </w:pPr>
    <w:r>
      <w:rPr>
        <w:sz w:val="18"/>
      </w:rPr>
      <w:tab/>
    </w:r>
    <w:r>
      <w:rPr>
        <w:sz w:val="18"/>
      </w:rPr>
      <w:tab/>
    </w:r>
    <w:r w:rsidRPr="00C1754E">
      <w:rPr>
        <w:sz w:val="18"/>
      </w:rPr>
      <w:t>(FOUL ONLY SEWAGE)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1BA7" w14:textId="77777777" w:rsidR="007B57A6" w:rsidRDefault="00521F61">
    <w:pPr>
      <w:tabs>
        <w:tab w:val="center" w:pos="4678"/>
        <w:tab w:val="center" w:pos="9004"/>
      </w:tabs>
      <w:spacing w:after="0" w:line="259" w:lineRule="auto"/>
      <w:ind w:left="0" w:right="0" w:firstLine="0"/>
      <w:jc w:val="left"/>
    </w:pPr>
    <w:r>
      <w:rPr>
        <w:sz w:val="18"/>
      </w:rPr>
      <w:t xml:space="preserve">CAR LICENCE APPLICANT GUIDANCE </w:t>
    </w:r>
    <w:r>
      <w:rPr>
        <w:sz w:val="18"/>
      </w:rPr>
      <w:tab/>
      <w:t xml:space="preserve"> </w:t>
    </w:r>
    <w:r>
      <w:rPr>
        <w:sz w:val="18"/>
      </w:rPr>
      <w:tab/>
      <w:t xml:space="preserve">FORM 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B15"/>
    <w:multiLevelType w:val="hybridMultilevel"/>
    <w:tmpl w:val="8DB8484E"/>
    <w:lvl w:ilvl="0" w:tplc="0502734A">
      <w:start w:val="4"/>
      <w:numFmt w:val="decimal"/>
      <w:lvlText w:val="%1"/>
      <w:lvlJc w:val="left"/>
      <w:pPr>
        <w:ind w:left="180" w:firstLine="0"/>
      </w:pPr>
      <w:rPr>
        <w:rFonts w:ascii="Arial" w:hAnsi="Arial" w:hint="default"/>
        <w:b w:val="0"/>
        <w:i w:val="0"/>
        <w:strike w:val="0"/>
        <w:dstrike w:val="0"/>
        <w:color w:val="000000"/>
        <w:sz w:val="20"/>
        <w:szCs w:val="20"/>
        <w:u w:val="none" w:color="00000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C1AA3"/>
    <w:multiLevelType w:val="hybridMultilevel"/>
    <w:tmpl w:val="4B648CC6"/>
    <w:lvl w:ilvl="0" w:tplc="14DA75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485F5E">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9CA2CC">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687CD8">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EEF0A8">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5CC618">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0517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01CD8">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E6037A">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0A2F0A"/>
    <w:multiLevelType w:val="hybridMultilevel"/>
    <w:tmpl w:val="C2B8BCE4"/>
    <w:lvl w:ilvl="0" w:tplc="1A72E10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70C23F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5822A2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949488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3724B1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924016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B90A31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5164E0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922AF5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34CA655D"/>
    <w:multiLevelType w:val="hybridMultilevel"/>
    <w:tmpl w:val="E0D85CA0"/>
    <w:lvl w:ilvl="0" w:tplc="D972A3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08D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852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E2B4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29C4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28B4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3450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28D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A681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CA4BD3"/>
    <w:multiLevelType w:val="hybridMultilevel"/>
    <w:tmpl w:val="5F7A21B8"/>
    <w:lvl w:ilvl="0" w:tplc="F3128C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A077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F8F2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2C76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D2F6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24DF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8E39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20BF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32C4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BD2B1F"/>
    <w:multiLevelType w:val="hybridMultilevel"/>
    <w:tmpl w:val="EC3EBB1A"/>
    <w:lvl w:ilvl="0" w:tplc="4862275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2CA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4C38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E403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A8E9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7495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E5E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103A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BECF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3D7A4F"/>
    <w:multiLevelType w:val="hybridMultilevel"/>
    <w:tmpl w:val="0E60CCAE"/>
    <w:lvl w:ilvl="0" w:tplc="EA8490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0CE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183C6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D241B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50C3A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1C14B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5C4EE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102D1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64BA8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2254A0"/>
    <w:multiLevelType w:val="hybridMultilevel"/>
    <w:tmpl w:val="A7FC0EEA"/>
    <w:lvl w:ilvl="0" w:tplc="996428B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C07F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689B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9225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805E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4263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1E5F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6A15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747A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523195"/>
    <w:multiLevelType w:val="hybridMultilevel"/>
    <w:tmpl w:val="C94C262A"/>
    <w:lvl w:ilvl="0" w:tplc="FFFFFFFF">
      <w:start w:val="1"/>
      <w:numFmt w:val="decimal"/>
      <w:lvlText w:val="%1"/>
      <w:lvlJc w:val="left"/>
      <w:pPr>
        <w:ind w:left="180"/>
      </w:pPr>
      <w:rPr>
        <w:rFonts w:ascii="Arial" w:hAnsi="Arial" w:hint="default"/>
        <w:b w:val="0"/>
        <w:i w:val="0"/>
        <w:strike w:val="0"/>
        <w:dstrike w:val="0"/>
        <w:color w:val="000000"/>
        <w:sz w:val="20"/>
        <w:szCs w:val="20"/>
        <w:u w:val="none" w:color="000000"/>
        <w:bdr w:val="none" w:sz="0" w:space="0" w:color="auto"/>
        <w:shd w:val="clear" w:color="auto" w:fill="auto"/>
        <w:vertAlign w:val="superscript"/>
      </w:rPr>
    </w:lvl>
    <w:lvl w:ilvl="1" w:tplc="FD4CF3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916A01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8EC6E5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E3BAD5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5A20ED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39B072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EBEA29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201C34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num w:numId="1" w16cid:durableId="1577589418">
    <w:abstractNumId w:val="5"/>
  </w:num>
  <w:num w:numId="2" w16cid:durableId="679967464">
    <w:abstractNumId w:val="3"/>
  </w:num>
  <w:num w:numId="3" w16cid:durableId="737240575">
    <w:abstractNumId w:val="4"/>
  </w:num>
  <w:num w:numId="4" w16cid:durableId="523717336">
    <w:abstractNumId w:val="2"/>
  </w:num>
  <w:num w:numId="5" w16cid:durableId="1858884194">
    <w:abstractNumId w:val="8"/>
  </w:num>
  <w:num w:numId="6" w16cid:durableId="1350720913">
    <w:abstractNumId w:val="7"/>
  </w:num>
  <w:num w:numId="7" w16cid:durableId="242764873">
    <w:abstractNumId w:val="1"/>
  </w:num>
  <w:num w:numId="8" w16cid:durableId="1668904520">
    <w:abstractNumId w:val="6"/>
  </w:num>
  <w:num w:numId="9" w16cid:durableId="65831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A6"/>
    <w:rsid w:val="000040B7"/>
    <w:rsid w:val="00041404"/>
    <w:rsid w:val="000871C8"/>
    <w:rsid w:val="00094B9E"/>
    <w:rsid w:val="00095AEA"/>
    <w:rsid w:val="000A61D7"/>
    <w:rsid w:val="000B05D2"/>
    <w:rsid w:val="000B6520"/>
    <w:rsid w:val="000C011D"/>
    <w:rsid w:val="000C73D9"/>
    <w:rsid w:val="001012A2"/>
    <w:rsid w:val="00126C1E"/>
    <w:rsid w:val="00136394"/>
    <w:rsid w:val="00150142"/>
    <w:rsid w:val="00150CA7"/>
    <w:rsid w:val="0015615E"/>
    <w:rsid w:val="001746B3"/>
    <w:rsid w:val="001B00B3"/>
    <w:rsid w:val="001B4DA0"/>
    <w:rsid w:val="001E3E4E"/>
    <w:rsid w:val="001F058F"/>
    <w:rsid w:val="00203EFA"/>
    <w:rsid w:val="002721E2"/>
    <w:rsid w:val="00283861"/>
    <w:rsid w:val="00284814"/>
    <w:rsid w:val="002902AF"/>
    <w:rsid w:val="002A2B11"/>
    <w:rsid w:val="002A7B80"/>
    <w:rsid w:val="003000ED"/>
    <w:rsid w:val="003017C0"/>
    <w:rsid w:val="00312F5B"/>
    <w:rsid w:val="00315F1D"/>
    <w:rsid w:val="00374FA4"/>
    <w:rsid w:val="00375526"/>
    <w:rsid w:val="0039377A"/>
    <w:rsid w:val="00393D63"/>
    <w:rsid w:val="003A5829"/>
    <w:rsid w:val="003C06F6"/>
    <w:rsid w:val="003C7AAB"/>
    <w:rsid w:val="003D3F2C"/>
    <w:rsid w:val="003F2BDF"/>
    <w:rsid w:val="003F43D5"/>
    <w:rsid w:val="004456D5"/>
    <w:rsid w:val="00456A81"/>
    <w:rsid w:val="00461AD2"/>
    <w:rsid w:val="00467B6F"/>
    <w:rsid w:val="00483777"/>
    <w:rsid w:val="004945DA"/>
    <w:rsid w:val="004A1C08"/>
    <w:rsid w:val="004C48B3"/>
    <w:rsid w:val="00521F61"/>
    <w:rsid w:val="0058155D"/>
    <w:rsid w:val="00592BC7"/>
    <w:rsid w:val="005A09B7"/>
    <w:rsid w:val="005B4A37"/>
    <w:rsid w:val="005F2489"/>
    <w:rsid w:val="006276ED"/>
    <w:rsid w:val="006534E1"/>
    <w:rsid w:val="00671725"/>
    <w:rsid w:val="006721FE"/>
    <w:rsid w:val="006E7979"/>
    <w:rsid w:val="006F60C4"/>
    <w:rsid w:val="007034F6"/>
    <w:rsid w:val="00706402"/>
    <w:rsid w:val="00712865"/>
    <w:rsid w:val="00716D7A"/>
    <w:rsid w:val="00727B8D"/>
    <w:rsid w:val="00743764"/>
    <w:rsid w:val="00776659"/>
    <w:rsid w:val="007B2D7C"/>
    <w:rsid w:val="007B37AA"/>
    <w:rsid w:val="007B57A6"/>
    <w:rsid w:val="007C474D"/>
    <w:rsid w:val="007C5C4D"/>
    <w:rsid w:val="007E18E8"/>
    <w:rsid w:val="007F76EA"/>
    <w:rsid w:val="00854E44"/>
    <w:rsid w:val="008806D3"/>
    <w:rsid w:val="0089025D"/>
    <w:rsid w:val="008A3202"/>
    <w:rsid w:val="008A787F"/>
    <w:rsid w:val="008B4069"/>
    <w:rsid w:val="00914C18"/>
    <w:rsid w:val="00927539"/>
    <w:rsid w:val="009278B9"/>
    <w:rsid w:val="009536F5"/>
    <w:rsid w:val="009628AA"/>
    <w:rsid w:val="009716BF"/>
    <w:rsid w:val="00982B9A"/>
    <w:rsid w:val="009E0B11"/>
    <w:rsid w:val="00A15CFE"/>
    <w:rsid w:val="00A33D4C"/>
    <w:rsid w:val="00A361C5"/>
    <w:rsid w:val="00A54ACF"/>
    <w:rsid w:val="00A6680E"/>
    <w:rsid w:val="00A865CD"/>
    <w:rsid w:val="00AF37DB"/>
    <w:rsid w:val="00AF443E"/>
    <w:rsid w:val="00B05004"/>
    <w:rsid w:val="00B072A2"/>
    <w:rsid w:val="00B2480E"/>
    <w:rsid w:val="00B32627"/>
    <w:rsid w:val="00B46558"/>
    <w:rsid w:val="00B51F11"/>
    <w:rsid w:val="00B576E7"/>
    <w:rsid w:val="00B8565F"/>
    <w:rsid w:val="00B90AF9"/>
    <w:rsid w:val="00B919EA"/>
    <w:rsid w:val="00B91A8C"/>
    <w:rsid w:val="00BB0CA3"/>
    <w:rsid w:val="00BD0A25"/>
    <w:rsid w:val="00BF29FE"/>
    <w:rsid w:val="00BF652F"/>
    <w:rsid w:val="00C172F2"/>
    <w:rsid w:val="00C1754E"/>
    <w:rsid w:val="00C26CE8"/>
    <w:rsid w:val="00C27030"/>
    <w:rsid w:val="00C32E80"/>
    <w:rsid w:val="00C43ADB"/>
    <w:rsid w:val="00C6299C"/>
    <w:rsid w:val="00C64E1C"/>
    <w:rsid w:val="00C7441E"/>
    <w:rsid w:val="00C86464"/>
    <w:rsid w:val="00C9521E"/>
    <w:rsid w:val="00CA2CCF"/>
    <w:rsid w:val="00CC4A2D"/>
    <w:rsid w:val="00D42E25"/>
    <w:rsid w:val="00D91B9E"/>
    <w:rsid w:val="00D920DD"/>
    <w:rsid w:val="00DD4B0E"/>
    <w:rsid w:val="00E11AF5"/>
    <w:rsid w:val="00E255DF"/>
    <w:rsid w:val="00E44C6F"/>
    <w:rsid w:val="00E543EE"/>
    <w:rsid w:val="00E57B48"/>
    <w:rsid w:val="00E716D8"/>
    <w:rsid w:val="00E81599"/>
    <w:rsid w:val="00EB4C98"/>
    <w:rsid w:val="00EC129B"/>
    <w:rsid w:val="00EC3297"/>
    <w:rsid w:val="00ED1214"/>
    <w:rsid w:val="00EE5B97"/>
    <w:rsid w:val="00F0404E"/>
    <w:rsid w:val="00F2751A"/>
    <w:rsid w:val="00F643DA"/>
    <w:rsid w:val="00F70F3A"/>
    <w:rsid w:val="00FE7211"/>
    <w:rsid w:val="00FF0EF2"/>
    <w:rsid w:val="00FF6FDE"/>
    <w:rsid w:val="02D8D9CF"/>
    <w:rsid w:val="0373C7DF"/>
    <w:rsid w:val="03E27EF7"/>
    <w:rsid w:val="07044BF5"/>
    <w:rsid w:val="117C28C7"/>
    <w:rsid w:val="11D4F2EB"/>
    <w:rsid w:val="14921A24"/>
    <w:rsid w:val="157DA8A5"/>
    <w:rsid w:val="19BA8AB1"/>
    <w:rsid w:val="1AD94CAE"/>
    <w:rsid w:val="1AE4AC94"/>
    <w:rsid w:val="1B68DEB6"/>
    <w:rsid w:val="200744DD"/>
    <w:rsid w:val="22C5B14B"/>
    <w:rsid w:val="246181AC"/>
    <w:rsid w:val="24A379A6"/>
    <w:rsid w:val="2950463B"/>
    <w:rsid w:val="2C6C9391"/>
    <w:rsid w:val="2D9BEBB5"/>
    <w:rsid w:val="2F41827B"/>
    <w:rsid w:val="2FFCC3F9"/>
    <w:rsid w:val="31C94E40"/>
    <w:rsid w:val="32B5EC00"/>
    <w:rsid w:val="3615A0E6"/>
    <w:rsid w:val="3AEED480"/>
    <w:rsid w:val="3E267542"/>
    <w:rsid w:val="4DF98FC3"/>
    <w:rsid w:val="4F9067F6"/>
    <w:rsid w:val="50F800A2"/>
    <w:rsid w:val="512C3857"/>
    <w:rsid w:val="565D6320"/>
    <w:rsid w:val="5B529770"/>
    <w:rsid w:val="5E1CF4C9"/>
    <w:rsid w:val="63A9B34B"/>
    <w:rsid w:val="681303E7"/>
    <w:rsid w:val="692C264D"/>
    <w:rsid w:val="6BA7F9AC"/>
    <w:rsid w:val="6E956786"/>
    <w:rsid w:val="712B65C3"/>
    <w:rsid w:val="7132BAD6"/>
    <w:rsid w:val="77C8C826"/>
    <w:rsid w:val="7EE5B251"/>
    <w:rsid w:val="7EEA68A1"/>
    <w:rsid w:val="7F4DD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412F"/>
  <w15:docId w15:val="{A68C7AAE-E6ED-42B9-AC79-C9939AA1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right="38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8C8C8C"/>
      <w:spacing w:after="77"/>
      <w:ind w:left="11" w:hanging="10"/>
      <w:outlineLvl w:val="0"/>
    </w:pPr>
    <w:rPr>
      <w:rFonts w:ascii="Arial" w:eastAsia="Arial" w:hAnsi="Arial" w:cs="Arial"/>
      <w:b/>
      <w:color w:val="FFFFFF"/>
      <w:sz w:val="20"/>
    </w:rPr>
  </w:style>
  <w:style w:type="paragraph" w:styleId="Heading2">
    <w:name w:val="heading 2"/>
    <w:next w:val="Normal"/>
    <w:link w:val="Heading2Char"/>
    <w:uiPriority w:val="9"/>
    <w:unhideWhenUsed/>
    <w:qFormat/>
    <w:pPr>
      <w:keepNext/>
      <w:keepLines/>
      <w:spacing w:after="4" w:line="250" w:lineRule="auto"/>
      <w:ind w:left="11"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0"/>
    </w:rPr>
  </w:style>
  <w:style w:type="character" w:customStyle="1" w:styleId="Heading2Char">
    <w:name w:val="Heading 2 Char"/>
    <w:link w:val="Heading2"/>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680E"/>
    <w:pPr>
      <w:ind w:left="720"/>
      <w:contextualSpacing/>
    </w:pPr>
  </w:style>
  <w:style w:type="paragraph" w:styleId="Revision">
    <w:name w:val="Revision"/>
    <w:hidden/>
    <w:uiPriority w:val="99"/>
    <w:semiHidden/>
    <w:rsid w:val="00B576E7"/>
    <w:pPr>
      <w:spacing w:after="0" w:line="240" w:lineRule="auto"/>
    </w:pPr>
    <w:rPr>
      <w:rFonts w:ascii="Arial" w:eastAsia="Arial" w:hAnsi="Arial" w:cs="Arial"/>
      <w:color w:val="000000"/>
      <w:sz w:val="20"/>
    </w:rPr>
  </w:style>
  <w:style w:type="character" w:styleId="CommentReference">
    <w:name w:val="annotation reference"/>
    <w:basedOn w:val="DefaultParagraphFont"/>
    <w:uiPriority w:val="99"/>
    <w:semiHidden/>
    <w:unhideWhenUsed/>
    <w:rsid w:val="000040B7"/>
    <w:rPr>
      <w:sz w:val="16"/>
      <w:szCs w:val="16"/>
    </w:rPr>
  </w:style>
  <w:style w:type="paragraph" w:styleId="CommentText">
    <w:name w:val="annotation text"/>
    <w:basedOn w:val="Normal"/>
    <w:link w:val="CommentTextChar"/>
    <w:uiPriority w:val="99"/>
    <w:unhideWhenUsed/>
    <w:rsid w:val="000040B7"/>
    <w:pPr>
      <w:spacing w:line="240" w:lineRule="auto"/>
    </w:pPr>
    <w:rPr>
      <w:szCs w:val="20"/>
    </w:rPr>
  </w:style>
  <w:style w:type="character" w:customStyle="1" w:styleId="CommentTextChar">
    <w:name w:val="Comment Text Char"/>
    <w:basedOn w:val="DefaultParagraphFont"/>
    <w:link w:val="CommentText"/>
    <w:uiPriority w:val="99"/>
    <w:rsid w:val="000040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40B7"/>
    <w:rPr>
      <w:b/>
      <w:bCs/>
    </w:rPr>
  </w:style>
  <w:style w:type="character" w:customStyle="1" w:styleId="CommentSubjectChar">
    <w:name w:val="Comment Subject Char"/>
    <w:basedOn w:val="CommentTextChar"/>
    <w:link w:val="CommentSubject"/>
    <w:uiPriority w:val="99"/>
    <w:semiHidden/>
    <w:rsid w:val="000040B7"/>
    <w:rPr>
      <w:rFonts w:ascii="Arial" w:eastAsia="Arial" w:hAnsi="Arial" w:cs="Arial"/>
      <w:b/>
      <w:bCs/>
      <w:color w:val="000000"/>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393D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3D63"/>
    <w:rPr>
      <w:rFonts w:ascii="Arial" w:eastAsia="Arial" w:hAnsi="Arial" w:cs="Arial"/>
      <w:color w:val="000000"/>
      <w:sz w:val="20"/>
    </w:rPr>
  </w:style>
  <w:style w:type="paragraph" w:styleId="Footer">
    <w:name w:val="footer"/>
    <w:basedOn w:val="Normal"/>
    <w:link w:val="FooterChar"/>
    <w:uiPriority w:val="99"/>
    <w:semiHidden/>
    <w:unhideWhenUsed/>
    <w:rsid w:val="00393D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3D6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CAR-LAG-ALL</dc:title>
  <dc:subject>CAR LICENCE APPLICANT GUIDANCE</dc:subject>
  <dc:creator>SEPA</dc:creator>
  <cp:keywords>Jun 2015</cp:keywords>
  <cp:lastModifiedBy>Hemingway, Andrew</cp:lastModifiedBy>
  <cp:revision>28</cp:revision>
  <dcterms:created xsi:type="dcterms:W3CDTF">2023-02-22T16:00:00Z</dcterms:created>
  <dcterms:modified xsi:type="dcterms:W3CDTF">2023-03-01T11:43:00Z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2023-02-22T16:00:09Z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2fd4c6fc-db93-4d3e-b9c2-edef5c9c2e64</vt:lpwstr>
  </property>
  <property fmtid="{D5CDD505-2E9C-101B-9397-08002B2CF9AE}" pid="8" name="MSIP_Label_020c9faf-63bf-4a31-9cd9-de783d5c392c_ContentBits">
    <vt:lpwstr>3</vt:lpwstr>
  </property>
</Properties>
</file>