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2E0A45B4" w14:textId="77777777" w:rsidR="004073BC" w:rsidRDefault="00F72274" w:rsidP="00F72274">
          <w:r>
            <w:rPr>
              <w:noProof/>
            </w:rPr>
            <w:drawing>
              <wp:anchor distT="0" distB="0" distL="114300" distR="114300" simplePos="0" relativeHeight="251658241" behindDoc="1" locked="0" layoutInCell="1" allowOverlap="1" wp14:anchorId="066A4DE4" wp14:editId="373AE16C">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60973" cy="10911734"/>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8E6AB8C" wp14:editId="7450065A">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F181382" w14:textId="77777777" w:rsidR="00281BB1" w:rsidRDefault="00281BB1" w:rsidP="00281BB1">
          <w:pPr>
            <w:rPr>
              <w:b/>
              <w:bCs/>
              <w:color w:val="FFFFFF" w:themeColor="background1"/>
              <w:sz w:val="84"/>
              <w:szCs w:val="84"/>
            </w:rPr>
          </w:pPr>
        </w:p>
        <w:p w14:paraId="03C7E053" w14:textId="77777777" w:rsidR="00012E1F" w:rsidRDefault="00012E1F" w:rsidP="00012E1F">
          <w:pPr>
            <w:spacing w:line="240" w:lineRule="auto"/>
            <w:rPr>
              <w:b/>
              <w:color w:val="FFFFFF" w:themeColor="background1"/>
              <w:sz w:val="96"/>
              <w:szCs w:val="96"/>
            </w:rPr>
          </w:pPr>
          <w:r>
            <w:rPr>
              <w:b/>
              <w:color w:val="FFFFFF" w:themeColor="background1"/>
              <w:sz w:val="96"/>
              <w:szCs w:val="96"/>
            </w:rPr>
            <w:t xml:space="preserve">SEPA Planning Advice Note  </w:t>
          </w:r>
        </w:p>
        <w:p w14:paraId="23B728BA" w14:textId="77777777" w:rsidR="00012E1F" w:rsidRDefault="00012E1F" w:rsidP="00012E1F">
          <w:pPr>
            <w:spacing w:line="240" w:lineRule="auto"/>
            <w:rPr>
              <w:b/>
              <w:color w:val="FFFFFF" w:themeColor="background1"/>
              <w:sz w:val="96"/>
              <w:szCs w:val="96"/>
            </w:rPr>
          </w:pPr>
        </w:p>
        <w:p w14:paraId="15AD4495" w14:textId="0C902375" w:rsidR="00012E1F" w:rsidRDefault="00012E1F" w:rsidP="00012E1F">
          <w:pPr>
            <w:spacing w:line="240" w:lineRule="auto"/>
            <w:rPr>
              <w:b/>
              <w:color w:val="FFFFFF" w:themeColor="background1"/>
              <w:sz w:val="96"/>
              <w:szCs w:val="96"/>
            </w:rPr>
          </w:pPr>
          <w:r>
            <w:rPr>
              <w:b/>
              <w:color w:val="FFFFFF" w:themeColor="background1"/>
              <w:sz w:val="96"/>
              <w:szCs w:val="96"/>
            </w:rPr>
            <w:t>Assessing the impact of developments on peatland and carbon rich soils</w:t>
          </w:r>
        </w:p>
        <w:p w14:paraId="1DC5C110" w14:textId="77777777" w:rsidR="00012E1F" w:rsidRDefault="00012E1F" w:rsidP="00012E1F">
          <w:pPr>
            <w:spacing w:line="240" w:lineRule="auto"/>
            <w:rPr>
              <w:b/>
              <w:color w:val="FFFFFF" w:themeColor="background1"/>
              <w:sz w:val="96"/>
              <w:szCs w:val="96"/>
            </w:rPr>
          </w:pPr>
        </w:p>
        <w:p w14:paraId="3F690DEC" w14:textId="77777777" w:rsidR="00012E1F" w:rsidRDefault="00012E1F" w:rsidP="00012E1F">
          <w:pPr>
            <w:spacing w:line="240" w:lineRule="auto"/>
            <w:rPr>
              <w:b/>
              <w:color w:val="FFFFFF" w:themeColor="background1"/>
              <w:sz w:val="96"/>
              <w:szCs w:val="96"/>
            </w:rPr>
          </w:pPr>
        </w:p>
        <w:p w14:paraId="6138A293" w14:textId="77777777" w:rsidR="00012E1F" w:rsidRDefault="00012E1F" w:rsidP="00012E1F">
          <w:pPr>
            <w:spacing w:line="240" w:lineRule="auto"/>
            <w:rPr>
              <w:b/>
              <w:color w:val="FFFFFF" w:themeColor="background1"/>
              <w:sz w:val="96"/>
              <w:szCs w:val="96"/>
            </w:rPr>
          </w:pPr>
        </w:p>
        <w:p w14:paraId="267D49EB" w14:textId="77777777" w:rsidR="00012E1F" w:rsidRDefault="00012E1F" w:rsidP="00012E1F">
          <w:pPr>
            <w:spacing w:line="240" w:lineRule="auto"/>
            <w:rPr>
              <w:color w:val="FFFFFF" w:themeColor="background1"/>
            </w:rPr>
          </w:pPr>
        </w:p>
        <w:p w14:paraId="4AC7B923" w14:textId="77777777" w:rsidR="00012E1F" w:rsidRDefault="00012E1F" w:rsidP="00012E1F">
          <w:pPr>
            <w:spacing w:line="240" w:lineRule="auto"/>
            <w:rPr>
              <w:color w:val="FFFFFF" w:themeColor="background1"/>
            </w:rPr>
          </w:pPr>
        </w:p>
        <w:p w14:paraId="7142D3EF" w14:textId="03FC9DCF" w:rsidR="008C1A73" w:rsidRPr="00012E1F" w:rsidRDefault="002A2F8E" w:rsidP="00012E1F">
          <w:pPr>
            <w:spacing w:line="240" w:lineRule="auto"/>
            <w:rPr>
              <w:color w:val="FFFFFF" w:themeColor="background1"/>
            </w:rPr>
          </w:pPr>
          <w:r>
            <w:rPr>
              <w:color w:val="FFFFFF" w:themeColor="background1"/>
            </w:rPr>
            <w:t>Decem</w:t>
          </w:r>
          <w:r w:rsidR="00012E1F" w:rsidRPr="00012E1F">
            <w:rPr>
              <w:color w:val="FFFFFF" w:themeColor="background1"/>
            </w:rPr>
            <w:t>ber 2025</w:t>
          </w:r>
          <w:r w:rsidR="008C1A73">
            <w:br w:type="page"/>
          </w:r>
        </w:p>
      </w:sdtContent>
    </w:sdt>
    <w:p w14:paraId="3985EF99" w14:textId="77777777" w:rsidR="00A26CC4" w:rsidRDefault="00A26CC4" w:rsidP="00A26CC4">
      <w:pPr>
        <w:pStyle w:val="BodyText1"/>
        <w:rPr>
          <w:rFonts w:eastAsia="Times New Roman"/>
          <w:sz w:val="32"/>
          <w:szCs w:val="32"/>
        </w:rPr>
      </w:pPr>
      <w:r w:rsidRPr="00C9352C">
        <w:rPr>
          <w:rFonts w:eastAsia="Times New Roman"/>
          <w:sz w:val="32"/>
          <w:szCs w:val="32"/>
        </w:rPr>
        <w:lastRenderedPageBreak/>
        <w:t>If you would like this document in an accessible format, such as large print, audio recording or braille, please contact SEPA by emailing </w:t>
      </w:r>
      <w:hyperlink r:id="rId10" w:tgtFrame="_blank" w:tooltip="mailto:equalities@sepa.org.uk" w:history="1">
        <w:r>
          <w:rPr>
            <w:rFonts w:eastAsia="Times New Roman"/>
            <w:color w:val="016574" w:themeColor="hyperlink"/>
            <w:sz w:val="32"/>
            <w:szCs w:val="32"/>
            <w:u w:val="single"/>
          </w:rPr>
          <w:t>our Equalities mailbox.</w:t>
        </w:r>
      </w:hyperlink>
      <w:r w:rsidRPr="00C9352C">
        <w:rPr>
          <w:rFonts w:eastAsia="Times New Roman"/>
          <w:sz w:val="32"/>
          <w:szCs w:val="32"/>
        </w:rPr>
        <w:t xml:space="preserve"> </w:t>
      </w:r>
    </w:p>
    <w:p w14:paraId="543EF48E" w14:textId="77777777" w:rsidR="00A26CC4" w:rsidRDefault="00A26CC4" w:rsidP="00A26CC4">
      <w:pPr>
        <w:pStyle w:val="BodyText1"/>
        <w:rPr>
          <w:rFonts w:eastAsia="Times New Roman"/>
          <w:sz w:val="32"/>
          <w:szCs w:val="32"/>
        </w:rPr>
      </w:pPr>
    </w:p>
    <w:p w14:paraId="066294BF" w14:textId="606305D7" w:rsidR="00A26CC4" w:rsidRPr="002A2F8E" w:rsidRDefault="00A26CC4" w:rsidP="00A26CC4">
      <w:pPr>
        <w:keepNext/>
        <w:keepLines/>
        <w:spacing w:after="240" w:line="240" w:lineRule="auto"/>
        <w:ind w:left="709" w:hanging="709"/>
        <w:jc w:val="both"/>
        <w:outlineLvl w:val="0"/>
        <w:rPr>
          <w:rFonts w:asciiTheme="majorHAnsi" w:eastAsia="MS PGothic" w:hAnsiTheme="majorHAnsi" w:cstheme="majorHAnsi"/>
          <w:b/>
          <w:color w:val="016574" w:themeColor="accent2"/>
          <w:sz w:val="32"/>
          <w:szCs w:val="32"/>
        </w:rPr>
      </w:pPr>
      <w:r w:rsidRPr="002A2F8E">
        <w:rPr>
          <w:rFonts w:asciiTheme="majorHAnsi" w:eastAsia="MS PGothic" w:hAnsiTheme="majorHAnsi" w:cstheme="majorHAnsi"/>
          <w:b/>
          <w:color w:val="016574" w:themeColor="accent2"/>
          <w:sz w:val="32"/>
          <w:szCs w:val="32"/>
        </w:rPr>
        <w:t xml:space="preserve">1. </w:t>
      </w:r>
      <w:r w:rsidRPr="002A2F8E">
        <w:rPr>
          <w:rFonts w:asciiTheme="majorHAnsi" w:eastAsia="MS PGothic" w:hAnsiTheme="majorHAnsi" w:cstheme="majorHAnsi"/>
          <w:b/>
          <w:color w:val="016574" w:themeColor="accent2"/>
          <w:sz w:val="32"/>
          <w:szCs w:val="32"/>
        </w:rPr>
        <w:tab/>
        <w:t>Context</w:t>
      </w:r>
    </w:p>
    <w:p w14:paraId="0EF11897" w14:textId="03B6FB70" w:rsidR="00A26CC4" w:rsidRPr="00A26CC4" w:rsidRDefault="00A26CC4" w:rsidP="00A26CC4">
      <w:pPr>
        <w:numPr>
          <w:ilvl w:val="1"/>
          <w:numId w:val="14"/>
        </w:numPr>
        <w:spacing w:after="240"/>
        <w:ind w:left="709"/>
        <w:rPr>
          <w:rFonts w:ascii="Arial" w:eastAsia="MS PGothic" w:hAnsi="Arial" w:cs="Arial"/>
        </w:rPr>
      </w:pPr>
      <w:r w:rsidRPr="00A26CC4">
        <w:rPr>
          <w:rFonts w:ascii="Arial" w:eastAsia="MS PGothic" w:hAnsi="Arial" w:cs="Arial"/>
        </w:rPr>
        <w:t xml:space="preserve">National Planning Framework 4 (NPF4) sets the policy for all new development in Scotland and </w:t>
      </w:r>
      <w:r w:rsidR="00E90114">
        <w:rPr>
          <w:rFonts w:ascii="Arial" w:eastAsia="MS PGothic" w:hAnsi="Arial" w:cs="Arial"/>
        </w:rPr>
        <w:t>P</w:t>
      </w:r>
      <w:r w:rsidRPr="00A26CC4">
        <w:rPr>
          <w:rFonts w:ascii="Arial" w:eastAsia="MS PGothic" w:hAnsi="Arial" w:cs="Arial"/>
        </w:rPr>
        <w:t>olicy 5 covers soils. Its intention is to protect carbon-rich soils (CRS), restore peatlands and minimise disturbance to soils from development. Development on CRS, peatland and priority peatland will only be supported where it meets certain criteria listed in 5c)</w:t>
      </w:r>
      <w:r w:rsidR="001A262E">
        <w:rPr>
          <w:rFonts w:ascii="Arial" w:eastAsia="MS PGothic" w:hAnsi="Arial" w:cs="Arial"/>
        </w:rPr>
        <w:t xml:space="preserve"> </w:t>
      </w:r>
      <w:r w:rsidRPr="00A26CC4">
        <w:rPr>
          <w:rFonts w:ascii="Arial" w:eastAsia="MS PGothic" w:hAnsi="Arial" w:cs="Arial"/>
        </w:rPr>
        <w:t>i-v.</w:t>
      </w:r>
    </w:p>
    <w:p w14:paraId="52490AFB" w14:textId="04BC9466" w:rsidR="00A26CC4" w:rsidRPr="00A26CC4" w:rsidRDefault="00A26CC4" w:rsidP="00A26CC4">
      <w:pPr>
        <w:spacing w:after="240"/>
        <w:ind w:left="709" w:hanging="720"/>
        <w:rPr>
          <w:rFonts w:ascii="Arial" w:eastAsia="MS PGothic" w:hAnsi="Arial" w:cs="Arial"/>
        </w:rPr>
      </w:pPr>
      <w:r w:rsidRPr="00A26CC4">
        <w:rPr>
          <w:rFonts w:ascii="Arial" w:eastAsia="MS PGothic" w:hAnsi="Arial" w:cs="Arial"/>
        </w:rPr>
        <w:t>1.2</w:t>
      </w:r>
      <w:r w:rsidRPr="00A26CC4">
        <w:rPr>
          <w:rFonts w:ascii="Arial" w:eastAsia="MS PGothic" w:hAnsi="Arial" w:cs="Arial"/>
        </w:rPr>
        <w:tab/>
        <w:t xml:space="preserve">NPF4 defines CRS as organo-mineral and peat soils. Peatlands are defined in NPF4 by the presence of peat soil or peaty soil types. This means that “peat-forming” vegetation is growing and actively forming </w:t>
      </w:r>
      <w:r w:rsidR="000B33B9" w:rsidRPr="00A26CC4">
        <w:rPr>
          <w:rFonts w:ascii="Arial" w:eastAsia="MS PGothic" w:hAnsi="Arial" w:cs="Arial"/>
        </w:rPr>
        <w:t>peat,</w:t>
      </w:r>
      <w:r w:rsidRPr="00A26CC4">
        <w:rPr>
          <w:rFonts w:ascii="Arial" w:eastAsia="MS PGothic" w:hAnsi="Arial" w:cs="Arial"/>
        </w:rPr>
        <w:t xml:space="preserve"> or it has been grown and formed peat at some point in the past. This guidance uses the terminology of CRS and peatland as defined in NPF4.</w:t>
      </w:r>
    </w:p>
    <w:p w14:paraId="57372CE1" w14:textId="0C2B3DBF" w:rsidR="00A26CC4" w:rsidRPr="00A26CC4" w:rsidRDefault="00A26CC4" w:rsidP="00A26CC4">
      <w:pPr>
        <w:spacing w:after="240"/>
        <w:ind w:left="720" w:hanging="720"/>
        <w:rPr>
          <w:rFonts w:ascii="Arial" w:eastAsia="MS PGothic" w:hAnsi="Arial" w:cs="Arial"/>
        </w:rPr>
      </w:pPr>
      <w:r w:rsidRPr="00A26CC4">
        <w:rPr>
          <w:rFonts w:ascii="Arial" w:eastAsia="MS PGothic" w:hAnsi="Arial" w:cs="Arial"/>
        </w:rPr>
        <w:t>1.3</w:t>
      </w:r>
      <w:r w:rsidRPr="00A26CC4">
        <w:rPr>
          <w:rFonts w:ascii="Arial" w:eastAsia="MS PGothic" w:hAnsi="Arial" w:cs="Arial"/>
        </w:rPr>
        <w:tab/>
        <w:t xml:space="preserve">All development proposals on CRS, including those listed in </w:t>
      </w:r>
      <w:r w:rsidR="00DC02F6">
        <w:rPr>
          <w:rFonts w:ascii="Arial" w:eastAsia="MS PGothic" w:hAnsi="Arial" w:cs="Arial"/>
        </w:rPr>
        <w:t>P</w:t>
      </w:r>
      <w:r w:rsidRPr="00A26CC4">
        <w:rPr>
          <w:rFonts w:ascii="Arial" w:eastAsia="MS PGothic" w:hAnsi="Arial" w:cs="Arial"/>
        </w:rPr>
        <w:t>olicy 5c i-v), require a detailed site-specific assessment to show how the development will be designed and constructed in accordance with the mitigation hierarchy.</w:t>
      </w:r>
    </w:p>
    <w:p w14:paraId="7AC18A94" w14:textId="77777777" w:rsidR="00A26CC4" w:rsidRPr="00A26CC4" w:rsidRDefault="00A26CC4" w:rsidP="00A26CC4">
      <w:pPr>
        <w:spacing w:after="240"/>
        <w:ind w:left="720" w:hanging="720"/>
        <w:rPr>
          <w:rFonts w:ascii="Arial" w:eastAsia="MS PGothic" w:hAnsi="Arial" w:cs="Arial"/>
        </w:rPr>
      </w:pPr>
      <w:r w:rsidRPr="00A26CC4">
        <w:rPr>
          <w:rFonts w:ascii="Arial" w:eastAsia="MS PGothic" w:hAnsi="Arial" w:cs="Arial"/>
        </w:rPr>
        <w:t>1.4</w:t>
      </w:r>
      <w:r w:rsidRPr="00A26CC4">
        <w:rPr>
          <w:rFonts w:ascii="Arial" w:eastAsia="MS PGothic" w:hAnsi="Arial" w:cs="Arial"/>
        </w:rPr>
        <w:tab/>
        <w:t>The mitigation hierarchy sets out the order in which impacts of development should be considered and addressed: avoid impact, minimise by reducing the impact, restore, and offset by compensating for any residual impact.</w:t>
      </w:r>
    </w:p>
    <w:p w14:paraId="6DEE3D9C" w14:textId="6169009C" w:rsidR="00A26CC4" w:rsidRPr="00A26CC4" w:rsidRDefault="00A26CC4" w:rsidP="00A26CC4">
      <w:pPr>
        <w:spacing w:after="240"/>
        <w:ind w:left="720" w:hanging="720"/>
        <w:rPr>
          <w:rFonts w:ascii="Arial" w:eastAsia="MS PGothic" w:hAnsi="Arial" w:cs="Arial"/>
        </w:rPr>
      </w:pPr>
      <w:r w:rsidRPr="00A26CC4">
        <w:rPr>
          <w:rFonts w:ascii="Arial" w:eastAsia="MS PGothic" w:hAnsi="Arial" w:cs="Arial"/>
        </w:rPr>
        <w:t>1.5</w:t>
      </w:r>
      <w:r w:rsidRPr="00A26CC4">
        <w:rPr>
          <w:rFonts w:ascii="Arial" w:eastAsia="MS PGothic" w:hAnsi="Arial" w:cs="Arial"/>
        </w:rPr>
        <w:tab/>
        <w:t xml:space="preserve">NPF4 should be read and applied as a whole. Policy 5 has key policy links with several other policies including </w:t>
      </w:r>
      <w:r w:rsidR="00DC02F6">
        <w:rPr>
          <w:rFonts w:ascii="Arial" w:eastAsia="MS PGothic" w:hAnsi="Arial" w:cs="Arial"/>
        </w:rPr>
        <w:t>P</w:t>
      </w:r>
      <w:r w:rsidRPr="00A26CC4">
        <w:rPr>
          <w:rFonts w:ascii="Arial" w:eastAsia="MS PGothic" w:hAnsi="Arial" w:cs="Arial"/>
        </w:rPr>
        <w:t xml:space="preserve">olicy 2, “Climate mitigation and adaptation”. The policy intent of </w:t>
      </w:r>
      <w:r w:rsidR="00DC02F6">
        <w:rPr>
          <w:rFonts w:ascii="Arial" w:eastAsia="MS PGothic" w:hAnsi="Arial" w:cs="Arial"/>
        </w:rPr>
        <w:t>P</w:t>
      </w:r>
      <w:r w:rsidRPr="00A26CC4">
        <w:rPr>
          <w:rFonts w:ascii="Arial" w:eastAsia="MS PGothic" w:hAnsi="Arial" w:cs="Arial"/>
        </w:rPr>
        <w:t xml:space="preserve">olicy 2 is to support development that minimises greenhouse gas emissions and adapts to current and future risks of climate change.  </w:t>
      </w:r>
      <w:hyperlink r:id="rId11" w:history="1">
        <w:r w:rsidRPr="00A26CC4">
          <w:rPr>
            <w:rFonts w:ascii="Arial" w:eastAsia="Arial" w:hAnsi="Arial" w:cs="Arial"/>
            <w:color w:val="016574" w:themeColor="hyperlink"/>
            <w:u w:val="single"/>
          </w:rPr>
          <w:t>The NPF4 Planning Guidance on Policy 2 – Climate Mitigation and Adaptation</w:t>
        </w:r>
      </w:hyperlink>
      <w:r w:rsidRPr="00A26CC4">
        <w:rPr>
          <w:rFonts w:ascii="Arial" w:eastAsia="Arial" w:hAnsi="Arial" w:cs="Arial"/>
          <w:color w:val="000000"/>
        </w:rPr>
        <w:t xml:space="preserve"> recognises the multiple benefits peatlands provide including capturing and storing carbon.</w:t>
      </w:r>
    </w:p>
    <w:p w14:paraId="10F9BC09" w14:textId="77777777" w:rsidR="00A26CC4" w:rsidRPr="002A2F8E" w:rsidRDefault="00A26CC4" w:rsidP="00A26CC4">
      <w:pPr>
        <w:spacing w:after="240"/>
        <w:ind w:left="720" w:hanging="720"/>
        <w:rPr>
          <w:rFonts w:asciiTheme="majorHAnsi" w:eastAsia="MS PGothic" w:hAnsiTheme="majorHAnsi" w:cstheme="majorHAnsi"/>
          <w:color w:val="016574" w:themeColor="accent6"/>
          <w:sz w:val="32"/>
          <w:szCs w:val="32"/>
        </w:rPr>
      </w:pPr>
      <w:r w:rsidRPr="002A2F8E">
        <w:rPr>
          <w:rFonts w:asciiTheme="majorHAnsi" w:eastAsia="MS PGothic" w:hAnsiTheme="majorHAnsi" w:cstheme="majorHAnsi"/>
          <w:b/>
          <w:color w:val="016574" w:themeColor="accent6"/>
          <w:sz w:val="32"/>
          <w:szCs w:val="32"/>
        </w:rPr>
        <w:lastRenderedPageBreak/>
        <w:t>2.</w:t>
      </w:r>
      <w:r w:rsidRPr="002A2F8E">
        <w:rPr>
          <w:rFonts w:asciiTheme="majorHAnsi" w:eastAsia="MS PGothic" w:hAnsiTheme="majorHAnsi" w:cstheme="majorHAnsi"/>
          <w:sz w:val="32"/>
          <w:szCs w:val="32"/>
        </w:rPr>
        <w:tab/>
      </w:r>
      <w:r w:rsidRPr="002A2F8E">
        <w:rPr>
          <w:rFonts w:asciiTheme="majorHAnsi" w:eastAsia="MS PGothic" w:hAnsiTheme="majorHAnsi" w:cstheme="majorHAnsi"/>
          <w:b/>
          <w:color w:val="016574" w:themeColor="accent6"/>
          <w:sz w:val="32"/>
          <w:szCs w:val="32"/>
        </w:rPr>
        <w:t>Relevant legislation and SEPA’s role</w:t>
      </w:r>
      <w:r w:rsidRPr="002A2F8E">
        <w:rPr>
          <w:rFonts w:asciiTheme="majorHAnsi" w:eastAsia="MS PGothic" w:hAnsiTheme="majorHAnsi" w:cstheme="majorHAnsi"/>
          <w:color w:val="016574" w:themeColor="accent6"/>
          <w:sz w:val="32"/>
          <w:szCs w:val="32"/>
        </w:rPr>
        <w:t> </w:t>
      </w:r>
    </w:p>
    <w:p w14:paraId="57AF511A" w14:textId="746E9838" w:rsidR="00A26CC4" w:rsidRPr="00A26CC4" w:rsidRDefault="00A26CC4" w:rsidP="00A26CC4">
      <w:pPr>
        <w:spacing w:after="240"/>
        <w:ind w:left="720" w:hanging="720"/>
        <w:rPr>
          <w:rFonts w:ascii="Arial" w:eastAsia="MS PGothic" w:hAnsi="Arial" w:cs="Arial"/>
        </w:rPr>
      </w:pPr>
      <w:r w:rsidRPr="00A26CC4">
        <w:rPr>
          <w:rFonts w:ascii="Arial" w:eastAsia="MS PGothic" w:hAnsi="Arial" w:cs="Arial"/>
        </w:rPr>
        <w:t>2.1</w:t>
      </w:r>
      <w:r w:rsidRPr="00A26CC4">
        <w:rPr>
          <w:rFonts w:ascii="Arial" w:eastAsia="MS PGothic" w:hAnsi="Arial" w:cs="Arial"/>
        </w:rPr>
        <w:tab/>
        <w:t xml:space="preserve">SEPA will provide advice on the avoidance, minimisation, and use of CRS in areas disturbed by construction activities. We will not comment directly on restoration proposals either on or off site however such uses will require an appropriate environmental authorisation. We would encourage developers to liaise directly with SEPA </w:t>
      </w:r>
      <w:r w:rsidR="00262A72">
        <w:rPr>
          <w:rFonts w:ascii="Arial" w:eastAsia="MS PGothic" w:hAnsi="Arial" w:cs="Arial"/>
        </w:rPr>
        <w:t xml:space="preserve">using our </w:t>
      </w:r>
      <w:hyperlink r:id="rId12" w:history="1">
        <w:r w:rsidRPr="00513A29">
          <w:rPr>
            <w:rStyle w:val="Hyperlink"/>
            <w:rFonts w:ascii="Arial" w:eastAsia="MS PGothic" w:hAnsi="Arial" w:cs="Arial"/>
          </w:rPr>
          <w:t xml:space="preserve">waste permitting </w:t>
        </w:r>
        <w:r w:rsidR="00513A29" w:rsidRPr="00513A29">
          <w:rPr>
            <w:rStyle w:val="Hyperlink"/>
            <w:rFonts w:ascii="Arial" w:eastAsia="MS PGothic" w:hAnsi="Arial" w:cs="Arial"/>
          </w:rPr>
          <w:t>mailbox</w:t>
        </w:r>
      </w:hyperlink>
      <w:r w:rsidRPr="00A26CC4">
        <w:rPr>
          <w:rFonts w:ascii="Arial" w:eastAsia="MS PGothic" w:hAnsi="Arial" w:cs="Arial"/>
        </w:rPr>
        <w:t xml:space="preserve">. NatureScot will provide advice where peat is to be used for genuine restoration projects and not reinstatement. For further advice on the framework that NatureScot uses to provide advice please refer to </w:t>
      </w:r>
      <w:hyperlink r:id="rId13" w:history="1">
        <w:r w:rsidRPr="00A26CC4">
          <w:rPr>
            <w:rFonts w:ascii="Arial" w:eastAsia="MS PGothic" w:hAnsi="Arial" w:cs="Arial"/>
            <w:color w:val="016574" w:themeColor="hyperlink"/>
            <w:u w:val="single"/>
          </w:rPr>
          <w:t>Advising on peatland, carbon-rich soils and priority peatland habitats in development management</w:t>
        </w:r>
      </w:hyperlink>
      <w:r w:rsidRPr="00A26CC4">
        <w:rPr>
          <w:rFonts w:ascii="Arial" w:eastAsia="MS PGothic" w:hAnsi="Arial" w:cs="Arial"/>
        </w:rPr>
        <w:t xml:space="preserve">. The </w:t>
      </w:r>
      <w:hyperlink r:id="rId14" w:history="1">
        <w:r w:rsidRPr="00A26CC4">
          <w:rPr>
            <w:rFonts w:ascii="Arial" w:eastAsia="MS PGothic" w:hAnsi="Arial" w:cs="Arial"/>
            <w:color w:val="016574" w:themeColor="hyperlink"/>
            <w:u w:val="single"/>
          </w:rPr>
          <w:t>Peatland ACTION – Technical Compendium</w:t>
        </w:r>
      </w:hyperlink>
      <w:r w:rsidRPr="00A26CC4">
        <w:rPr>
          <w:rFonts w:ascii="Arial" w:eastAsia="MS PGothic" w:hAnsi="Arial" w:cs="Arial"/>
        </w:rPr>
        <w:t xml:space="preserve"> provides more detailed advice on peatland restoration techniques.</w:t>
      </w:r>
    </w:p>
    <w:p w14:paraId="7BC741BF" w14:textId="5C28C22D" w:rsidR="00A26CC4" w:rsidRPr="00A26CC4" w:rsidRDefault="00A26CC4" w:rsidP="00A26CC4">
      <w:pPr>
        <w:spacing w:after="240"/>
        <w:ind w:left="720" w:hanging="720"/>
        <w:rPr>
          <w:rFonts w:ascii="Arial" w:eastAsia="MS PGothic" w:hAnsi="Arial" w:cs="Arial"/>
        </w:rPr>
      </w:pPr>
      <w:r w:rsidRPr="00A26CC4">
        <w:rPr>
          <w:rFonts w:ascii="Arial" w:eastAsia="MS PGothic" w:hAnsi="Arial" w:cs="Arial"/>
        </w:rPr>
        <w:t>2.2</w:t>
      </w:r>
      <w:r w:rsidRPr="00A26CC4">
        <w:rPr>
          <w:rFonts w:ascii="Arial" w:eastAsia="MS PGothic" w:hAnsi="Arial" w:cs="Arial"/>
        </w:rPr>
        <w:tab/>
        <w:t xml:space="preserve">Development proposals on CRS are not supported by </w:t>
      </w:r>
      <w:r w:rsidR="00F76D50">
        <w:rPr>
          <w:rFonts w:ascii="Arial" w:eastAsia="MS PGothic" w:hAnsi="Arial" w:cs="Arial"/>
        </w:rPr>
        <w:t>P</w:t>
      </w:r>
      <w:r w:rsidRPr="00A26CC4">
        <w:rPr>
          <w:rFonts w:ascii="Arial" w:eastAsia="MS PGothic" w:hAnsi="Arial" w:cs="Arial"/>
        </w:rPr>
        <w:t xml:space="preserve">olicy 5 unless they qualify as an exception under part c.  The determining authority should advise if an application accords with the development types in part 5c of the NPF4 policy. We require to be consulted on development proposals which are exceptions under </w:t>
      </w:r>
      <w:r w:rsidR="00957E80">
        <w:rPr>
          <w:rFonts w:ascii="Arial" w:eastAsia="MS PGothic" w:hAnsi="Arial" w:cs="Arial"/>
        </w:rPr>
        <w:t>P</w:t>
      </w:r>
      <w:r w:rsidRPr="00A26CC4">
        <w:rPr>
          <w:rFonts w:ascii="Arial" w:eastAsia="MS PGothic" w:hAnsi="Arial" w:cs="Arial"/>
        </w:rPr>
        <w:t>olicy 5 part c. Our assessment will take on board the advice given by the determining authority and will inform the advice we give.</w:t>
      </w:r>
    </w:p>
    <w:p w14:paraId="2632491B" w14:textId="77777777" w:rsidR="00A26CC4" w:rsidRPr="00A26CC4" w:rsidRDefault="00A26CC4" w:rsidP="00A26CC4">
      <w:pPr>
        <w:spacing w:after="240"/>
        <w:ind w:left="720" w:hanging="720"/>
        <w:rPr>
          <w:rFonts w:ascii="Arial" w:eastAsia="MS PGothic" w:hAnsi="Arial" w:cs="Arial"/>
        </w:rPr>
      </w:pPr>
      <w:r w:rsidRPr="00A26CC4">
        <w:rPr>
          <w:rFonts w:ascii="Arial" w:eastAsia="MS PGothic" w:hAnsi="Arial" w:cs="Arial"/>
        </w:rPr>
        <w:t>2.3</w:t>
      </w:r>
      <w:r w:rsidRPr="00A26CC4">
        <w:rPr>
          <w:rFonts w:ascii="Arial" w:eastAsia="MS PGothic" w:hAnsi="Arial" w:cs="Arial"/>
        </w:rPr>
        <w:tab/>
        <w:t>For development proposals which aren’t considered an exception it is for the determining authority to consider the weight that should be given to the appropriate policies of the development plan and any relevant material considerations.  If the planning authority requires technical advice relating to the application of the mitigation hierarchy and whether it has been followed, we can discuss this at a liaison or pre-application meeting and agree consultation arrangements.</w:t>
      </w:r>
    </w:p>
    <w:p w14:paraId="722B4914" w14:textId="77777777" w:rsidR="00A26CC4" w:rsidRPr="00A26CC4" w:rsidRDefault="00A26CC4" w:rsidP="00A26CC4">
      <w:pPr>
        <w:spacing w:after="240"/>
        <w:ind w:left="720" w:hanging="720"/>
        <w:rPr>
          <w:rFonts w:ascii="Arial" w:eastAsia="MS PGothic" w:hAnsi="Arial" w:cs="Arial"/>
        </w:rPr>
      </w:pPr>
      <w:r w:rsidRPr="00A26CC4">
        <w:rPr>
          <w:rFonts w:ascii="Arial" w:eastAsia="MS PGothic" w:hAnsi="Arial" w:cs="Arial"/>
        </w:rPr>
        <w:t>2.4</w:t>
      </w:r>
      <w:r w:rsidRPr="00A26CC4">
        <w:rPr>
          <w:rFonts w:ascii="Arial" w:eastAsia="MS PGothic" w:hAnsi="Arial" w:cs="Arial"/>
        </w:rPr>
        <w:tab/>
        <w:t xml:space="preserve">The focus of our approach is to ensure development is designed and constructed in accordance with relevant guidance and the mitigation hierarchy in NPF4, by firstly avoiding the excavation of CRS and then minimising through best practice. A strategic approach to developing the spatial strategy for an area is key to avoiding CRS. Early site selection should be informed by the location of CRS to meaningfully demonstrate that the mitigation hierarchy has been followed. It would be useful for the site assessment to set </w:t>
      </w:r>
      <w:r w:rsidRPr="00A26CC4">
        <w:rPr>
          <w:rFonts w:ascii="Arial" w:eastAsia="MS PGothic" w:hAnsi="Arial" w:cs="Arial"/>
        </w:rPr>
        <w:lastRenderedPageBreak/>
        <w:t>out the decision-making process demonstrating how alternative sites were considered and why the proposed site is most suitable. For example, it is understood that there can be some micro-routing for transmission projects, but development can’t always avoid deep peat. The submission should, however, provide details of the route alignment methodology. As outlined below this approach accords with our duties under the relevant legislation. </w:t>
      </w:r>
    </w:p>
    <w:p w14:paraId="019F6DEB" w14:textId="77777777" w:rsidR="00A26CC4" w:rsidRPr="00A26CC4" w:rsidRDefault="00A26CC4" w:rsidP="00A26CC4">
      <w:pPr>
        <w:numPr>
          <w:ilvl w:val="0"/>
          <w:numId w:val="15"/>
        </w:numPr>
        <w:spacing w:after="240"/>
        <w:rPr>
          <w:rFonts w:ascii="Arial" w:eastAsia="MS PGothic" w:hAnsi="Arial" w:cs="Arial"/>
        </w:rPr>
      </w:pPr>
      <w:r w:rsidRPr="00A26CC4">
        <w:rPr>
          <w:rFonts w:ascii="Arial" w:eastAsia="MS PGothic" w:hAnsi="Arial" w:cs="Arial"/>
        </w:rPr>
        <w:t>SEPA’s Statutory Purpose as contained in Section 20A of the Environment Act 1995 as it protects and improves the environment (land, air and water) and manages natural resources in a sustainable way.</w:t>
      </w:r>
    </w:p>
    <w:p w14:paraId="5C488857" w14:textId="2BE668B8" w:rsidR="00A26CC4" w:rsidRPr="00A26CC4" w:rsidRDefault="00A26CC4" w:rsidP="00A26CC4">
      <w:pPr>
        <w:numPr>
          <w:ilvl w:val="0"/>
          <w:numId w:val="16"/>
        </w:numPr>
        <w:spacing w:after="240"/>
        <w:rPr>
          <w:rFonts w:ascii="Arial" w:eastAsia="MS PGothic" w:hAnsi="Arial" w:cs="Arial"/>
        </w:rPr>
      </w:pPr>
      <w:r w:rsidRPr="00A26CC4">
        <w:rPr>
          <w:rFonts w:ascii="Arial" w:eastAsia="MS PGothic" w:hAnsi="Arial" w:cs="Arial"/>
        </w:rPr>
        <w:t xml:space="preserve">The public bodies climate change duties as set out in the Climate Change (Scotland) Act 2009, require us through delivery of our functions to act in the way best calculated to support the delivery of emission reduction targets and that we consider to be most sustainable. By applying the mitigation hierarchy from NPF4 and following other relevant guidance we can ensure that the impact of development on existing carbon stores is minimised, avoiding release of greenhouse gas (GHG) emissions. In </w:t>
      </w:r>
      <w:r w:rsidR="00E44895" w:rsidRPr="00A26CC4">
        <w:rPr>
          <w:rFonts w:ascii="Arial" w:eastAsia="MS PGothic" w:hAnsi="Arial" w:cs="Arial"/>
        </w:rPr>
        <w:t>taking this approach,</w:t>
      </w:r>
      <w:r w:rsidRPr="00A26CC4">
        <w:rPr>
          <w:rFonts w:ascii="Arial" w:eastAsia="MS PGothic" w:hAnsi="Arial" w:cs="Arial"/>
        </w:rPr>
        <w:t xml:space="preserve"> we can demonstrate that we have been supportive of development which contributes to net zero ambitions and that sustainability has been a key consideration.</w:t>
      </w:r>
    </w:p>
    <w:p w14:paraId="65A365BE" w14:textId="77777777" w:rsidR="00A26CC4" w:rsidRPr="00A26CC4" w:rsidRDefault="00A26CC4" w:rsidP="00A26CC4">
      <w:pPr>
        <w:numPr>
          <w:ilvl w:val="0"/>
          <w:numId w:val="17"/>
        </w:numPr>
        <w:spacing w:after="240"/>
        <w:rPr>
          <w:rFonts w:ascii="Arial" w:eastAsia="MS PGothic" w:hAnsi="Arial" w:cs="Arial"/>
        </w:rPr>
      </w:pPr>
      <w:r w:rsidRPr="00A26CC4">
        <w:rPr>
          <w:rFonts w:ascii="Arial" w:eastAsia="MS PGothic" w:hAnsi="Arial" w:cs="Arial"/>
        </w:rPr>
        <w:t>Protecting functioning peatland and safeguarding the ecosystem services it provides including carbon sequestration, storing water, and supporting biodiversity aligns with the duties imposed on SEPA under the Water Environment and Water Services (Scotland) Act 2003 (WEWS Act), and the Nature Conservation (Scotland) Act 2004. </w:t>
      </w:r>
    </w:p>
    <w:p w14:paraId="48832428" w14:textId="77777777" w:rsidR="00A26CC4" w:rsidRDefault="00A26CC4" w:rsidP="00A26CC4">
      <w:pPr>
        <w:numPr>
          <w:ilvl w:val="0"/>
          <w:numId w:val="18"/>
        </w:numPr>
        <w:spacing w:after="240"/>
        <w:rPr>
          <w:rFonts w:ascii="Arial" w:eastAsia="MS PGothic" w:hAnsi="Arial" w:cs="Arial"/>
        </w:rPr>
      </w:pPr>
      <w:r w:rsidRPr="00A26CC4">
        <w:rPr>
          <w:rFonts w:ascii="Arial" w:eastAsia="MS PGothic" w:hAnsi="Arial" w:cs="Arial"/>
        </w:rPr>
        <w:t xml:space="preserve">In line with the waste hierarchy as set out in the Waste Framework Directive (WFD) 2008/98, the excavation of CRS should be first avoided to prevent the production of waste peat. The waste hierarchy ranks waste management options according to what is best for the environment with prevention being ranked as the preferred option, then reuse, recycle, recover value and as a last resort disposal. Excavated CRS will be classified as waste if discarded, or the holder intends to or is required to discard it. This will require the appropriate level of environmental authorisation from SEPA. </w:t>
      </w:r>
    </w:p>
    <w:p w14:paraId="6B1D9060" w14:textId="77777777" w:rsidR="00A26CC4" w:rsidRPr="00A26CC4" w:rsidRDefault="00A26CC4" w:rsidP="00A26CC4">
      <w:pPr>
        <w:spacing w:after="240"/>
        <w:ind w:left="720"/>
        <w:rPr>
          <w:rFonts w:ascii="Arial" w:eastAsia="MS PGothic" w:hAnsi="Arial" w:cs="Arial"/>
        </w:rPr>
      </w:pPr>
    </w:p>
    <w:p w14:paraId="79CB63B6" w14:textId="77777777" w:rsidR="00A26CC4" w:rsidRDefault="00A26CC4" w:rsidP="00A26CC4">
      <w:pPr>
        <w:pStyle w:val="BodyText1"/>
        <w:rPr>
          <w:rFonts w:asciiTheme="majorHAnsi" w:hAnsiTheme="majorHAnsi" w:cstheme="majorHAnsi"/>
          <w:color w:val="016574" w:themeColor="accent6"/>
          <w:sz w:val="32"/>
          <w:szCs w:val="32"/>
        </w:rPr>
      </w:pPr>
      <w:r>
        <w:rPr>
          <w:rFonts w:asciiTheme="majorHAnsi" w:hAnsiTheme="majorHAnsi" w:cstheme="majorHAnsi"/>
          <w:b/>
          <w:color w:val="016574" w:themeColor="accent6"/>
          <w:sz w:val="32"/>
          <w:szCs w:val="32"/>
        </w:rPr>
        <w:lastRenderedPageBreak/>
        <w:t>3.</w:t>
      </w:r>
      <w:r>
        <w:rPr>
          <w:rFonts w:asciiTheme="majorHAnsi" w:hAnsiTheme="majorHAnsi" w:cstheme="majorHAnsi"/>
          <w:sz w:val="32"/>
          <w:szCs w:val="32"/>
        </w:rPr>
        <w:tab/>
      </w:r>
      <w:r>
        <w:rPr>
          <w:rFonts w:asciiTheme="majorHAnsi" w:hAnsiTheme="majorHAnsi" w:cstheme="majorHAnsi"/>
          <w:b/>
          <w:color w:val="016574" w:themeColor="accent6"/>
          <w:sz w:val="32"/>
          <w:szCs w:val="32"/>
        </w:rPr>
        <w:t>Development Management</w:t>
      </w:r>
      <w:r>
        <w:rPr>
          <w:rFonts w:asciiTheme="majorHAnsi" w:hAnsiTheme="majorHAnsi" w:cstheme="majorHAnsi"/>
          <w:color w:val="016574" w:themeColor="accent6"/>
          <w:sz w:val="32"/>
          <w:szCs w:val="32"/>
        </w:rPr>
        <w:t>  </w:t>
      </w:r>
    </w:p>
    <w:p w14:paraId="0ABD3335" w14:textId="77777777" w:rsidR="00A26CC4" w:rsidRDefault="00A26CC4" w:rsidP="00A26CC4">
      <w:pPr>
        <w:pStyle w:val="BodyText1"/>
        <w:ind w:left="720" w:hanging="720"/>
      </w:pPr>
      <w:r>
        <w:t>3.1</w:t>
      </w:r>
      <w:r>
        <w:tab/>
        <w:t xml:space="preserve">Our </w:t>
      </w:r>
      <w:hyperlink r:id="rId15" w:history="1">
        <w:r>
          <w:rPr>
            <w:rStyle w:val="Hyperlink"/>
          </w:rPr>
          <w:t>Development Management Consultation Thresholds an</w:t>
        </w:r>
        <w:r>
          <w:rPr>
            <w:rStyle w:val="Hyperlink"/>
          </w:rPr>
          <w:t>d</w:t>
        </w:r>
        <w:r>
          <w:rPr>
            <w:rStyle w:val="Hyperlink"/>
          </w:rPr>
          <w:t xml:space="preserve"> Standing Advice</w:t>
        </w:r>
      </w:hyperlink>
      <w:r>
        <w:t xml:space="preserve"> sets out the scale of application which we should be consulted on and will provide a response to, and our standing advice should be used for applications which fall below these thresholds. </w:t>
      </w:r>
      <w:r>
        <w:rPr>
          <w:rFonts w:ascii="Arial" w:eastAsia="Arial" w:hAnsi="Arial" w:cs="Arial"/>
          <w:color w:val="000000"/>
        </w:rPr>
        <w:t>Sites where the peat survey has identified that all or most of the soil is organo-mineral or peaty soil will also be covered by standing advice.</w:t>
      </w:r>
      <w:r>
        <w:t xml:space="preserve"> </w:t>
      </w:r>
      <w:r>
        <w:rPr>
          <w:rFonts w:ascii="Arial" w:eastAsia="Arial" w:hAnsi="Arial" w:cs="Arial"/>
          <w:color w:val="000000"/>
        </w:rPr>
        <w:t>We will provide site specific advice on the management of sites where only peat is present or there is a mixture of peat and peaty/organo-mineral soils. </w:t>
      </w:r>
      <w:r>
        <w:t xml:space="preserve"> </w:t>
      </w:r>
    </w:p>
    <w:p w14:paraId="176235EC" w14:textId="33EAF27C" w:rsidR="00A26CC4" w:rsidRDefault="00A26CC4" w:rsidP="00A26CC4">
      <w:pPr>
        <w:pStyle w:val="BodyText1"/>
        <w:ind w:left="720" w:hanging="720"/>
      </w:pPr>
      <w:r>
        <w:t>3.2</w:t>
      </w:r>
      <w:r>
        <w:tab/>
        <w:t xml:space="preserve">The NatureScot </w:t>
      </w:r>
      <w:hyperlink r:id="rId16" w:history="1">
        <w:r w:rsidR="000D64CD">
          <w:rPr>
            <w:rStyle w:val="Hyperlink"/>
          </w:rPr>
          <w:t>Carbon and Peatland 2016 Map</w:t>
        </w:r>
      </w:hyperlink>
      <w:r>
        <w:t xml:space="preserve"> should be used initially to establish the likely presence of CRS (Classes 1, 2, 3, and 5). It is a high-level indicative planning tool which will give an idea of whether CRS should be screened into an assessment. The 2016 map can be used together with local knowledge, site reconnaissance surveys and the national soil maps to assess the likely presence of CRS. The map and further information on soils can be found on </w:t>
      </w:r>
      <w:hyperlink r:id="rId17" w:history="1">
        <w:r w:rsidR="003F62D8">
          <w:rPr>
            <w:rStyle w:val="Hyperlink"/>
          </w:rPr>
          <w:t>Scotland’s Soils website</w:t>
        </w:r>
      </w:hyperlink>
      <w:r>
        <w:t>. </w:t>
      </w:r>
    </w:p>
    <w:p w14:paraId="2DBB6505" w14:textId="77777777" w:rsidR="00A26CC4" w:rsidRDefault="00A26CC4" w:rsidP="00A26CC4">
      <w:pPr>
        <w:pStyle w:val="BodyText1"/>
        <w:ind w:left="720" w:hanging="720"/>
      </w:pPr>
      <w:r>
        <w:t>3.3</w:t>
      </w:r>
      <w:r>
        <w:tab/>
        <w:t>All development proposals on CRS are required to demonstrate and provide adequate justification in the order set out below that they have achieved the following: </w:t>
      </w:r>
    </w:p>
    <w:p w14:paraId="091F32D5" w14:textId="44C79AFA" w:rsidR="00A26CC4" w:rsidRDefault="00A26CC4" w:rsidP="00A26CC4">
      <w:pPr>
        <w:pStyle w:val="BodyText1"/>
        <w:numPr>
          <w:ilvl w:val="0"/>
          <w:numId w:val="19"/>
        </w:numPr>
        <w:tabs>
          <w:tab w:val="clear" w:pos="720"/>
          <w:tab w:val="num" w:pos="1440"/>
        </w:tabs>
        <w:ind w:left="1440"/>
      </w:pPr>
      <w:r>
        <w:t>Avoidance of near-natural peatland and peat greater than 1 metre depth. </w:t>
      </w:r>
    </w:p>
    <w:p w14:paraId="0CEDC9D5" w14:textId="64628523" w:rsidR="00A26CC4" w:rsidRDefault="00A26CC4" w:rsidP="00A26CC4">
      <w:pPr>
        <w:pStyle w:val="BodyText1"/>
        <w:numPr>
          <w:ilvl w:val="0"/>
          <w:numId w:val="20"/>
        </w:numPr>
        <w:tabs>
          <w:tab w:val="clear" w:pos="720"/>
          <w:tab w:val="num" w:pos="1440"/>
        </w:tabs>
        <w:ind w:left="1440"/>
      </w:pPr>
      <w:r>
        <w:t>Avoidance of other CRS where there are alternative areas of the site where CRS are absent.</w:t>
      </w:r>
    </w:p>
    <w:p w14:paraId="1964A98D" w14:textId="6C45966C" w:rsidR="00A26CC4" w:rsidRDefault="00A26CC4" w:rsidP="00A26CC4">
      <w:pPr>
        <w:pStyle w:val="BodyText1"/>
        <w:numPr>
          <w:ilvl w:val="0"/>
          <w:numId w:val="21"/>
        </w:numPr>
        <w:tabs>
          <w:tab w:val="clear" w:pos="720"/>
          <w:tab w:val="num" w:pos="1440"/>
        </w:tabs>
        <w:ind w:left="1440"/>
      </w:pPr>
      <w:r>
        <w:t>Minimisation of the absolute volume of peat material excavated and disturbed during construction, operational life and in decommissioning.</w:t>
      </w:r>
    </w:p>
    <w:p w14:paraId="45C95067" w14:textId="77777777" w:rsidR="00A26CC4" w:rsidRDefault="00A26CC4" w:rsidP="00A26CC4">
      <w:pPr>
        <w:pStyle w:val="BodyText1"/>
        <w:numPr>
          <w:ilvl w:val="1"/>
          <w:numId w:val="21"/>
        </w:numPr>
      </w:pPr>
      <w:r>
        <w:t xml:space="preserve">Where the applicant has provided justification that avoidance of areas of near-natural peatland and peat deeper than 1m is not possible the applicant should investigate the use </w:t>
      </w:r>
      <w:r>
        <w:tab/>
        <w:t>of non-intrusive building and infrastructure design to minimise the impacts. This covers infrastructure elements such as floating tracks. A contingency plan should be submitted in case the original proposal ends up not being technically feasible. </w:t>
      </w:r>
    </w:p>
    <w:p w14:paraId="571E5283" w14:textId="1F3FD609" w:rsidR="00A26CC4" w:rsidRDefault="00A26CC4" w:rsidP="00A26CC4">
      <w:pPr>
        <w:pStyle w:val="BodyText1"/>
        <w:ind w:left="720" w:hanging="720"/>
      </w:pPr>
      <w:r>
        <w:lastRenderedPageBreak/>
        <w:t>3.4</w:t>
      </w:r>
      <w:r>
        <w:tab/>
        <w:t xml:space="preserve">This approach is in accordance with NPF4 </w:t>
      </w:r>
      <w:r w:rsidR="005177A1">
        <w:t>P</w:t>
      </w:r>
      <w:r>
        <w:t>olicy 2 a) which requires development proposals to be sited and designed to minimise lifecycle greenhouse gas emissions as far as possible. </w:t>
      </w:r>
    </w:p>
    <w:p w14:paraId="4150564A" w14:textId="77777777" w:rsidR="00A26CC4" w:rsidRDefault="00A26CC4" w:rsidP="00A26CC4">
      <w:pPr>
        <w:pStyle w:val="BodyText1"/>
        <w:ind w:left="720" w:hanging="720"/>
      </w:pPr>
      <w:r>
        <w:t>3.5</w:t>
      </w:r>
      <w:r>
        <w:tab/>
        <w:t>Avoidance of near-natural peatland on a site protects these habitats from development, minimises creation of new sources of GHG emissions and ensures that the ecosystem services these nationally important habitats provide are protected. These include carbon storage and sequestration, water retention and habitats for biodiversity. We will therefore seek absolute avoidance of development on these habitats and justification will be required where near-natural peatland hasn’t been avoided. The justification will include how any impacts are considered in relation to the mitigation hierarchy as demonstrated through the Peat Management Plan (PMP) submission. This should be supported by maps with overlays of the peat maps and any other constraints, such as visual impact, to clearly demonstrate how these constraints have influenced any necessary need for development on peatland.  </w:t>
      </w:r>
    </w:p>
    <w:p w14:paraId="420B2189" w14:textId="77777777" w:rsidR="00A26CC4" w:rsidRDefault="00A26CC4" w:rsidP="00A26CC4">
      <w:pPr>
        <w:pStyle w:val="BodyText1"/>
        <w:ind w:left="720" w:hanging="720"/>
      </w:pPr>
      <w:r>
        <w:t>3.6</w:t>
      </w:r>
      <w:r>
        <w:tab/>
        <w:t>The avoidance of areas of peat over 1 metre in depth limits the volume of displaced peat generated and therefore limits the environmental effects: </w:t>
      </w:r>
    </w:p>
    <w:p w14:paraId="401257A4" w14:textId="5FDDC560" w:rsidR="00A26CC4" w:rsidRDefault="00A26CC4" w:rsidP="00A26CC4">
      <w:pPr>
        <w:pStyle w:val="BodyText1"/>
        <w:numPr>
          <w:ilvl w:val="0"/>
          <w:numId w:val="22"/>
        </w:numPr>
        <w:tabs>
          <w:tab w:val="clear" w:pos="720"/>
          <w:tab w:val="num" w:pos="1440"/>
        </w:tabs>
        <w:ind w:left="1440"/>
      </w:pPr>
      <w:r>
        <w:t>Impacts on natural water storage capacity and the potential flood risk.</w:t>
      </w:r>
    </w:p>
    <w:p w14:paraId="1AB90460" w14:textId="129AE895" w:rsidR="00A26CC4" w:rsidRDefault="00A26CC4" w:rsidP="00A26CC4">
      <w:pPr>
        <w:pStyle w:val="BodyText1"/>
        <w:numPr>
          <w:ilvl w:val="0"/>
          <w:numId w:val="23"/>
        </w:numPr>
        <w:tabs>
          <w:tab w:val="clear" w:pos="720"/>
          <w:tab w:val="num" w:pos="1440"/>
        </w:tabs>
        <w:ind w:left="1440"/>
      </w:pPr>
      <w:r>
        <w:t>Amount of CRS which will potentially be required to be managed as waste.</w:t>
      </w:r>
    </w:p>
    <w:p w14:paraId="084DD1CB" w14:textId="6610C6B0" w:rsidR="00A26CC4" w:rsidRDefault="00A26CC4" w:rsidP="00A26CC4">
      <w:pPr>
        <w:pStyle w:val="BodyText1"/>
        <w:numPr>
          <w:ilvl w:val="0"/>
          <w:numId w:val="24"/>
        </w:numPr>
        <w:tabs>
          <w:tab w:val="clear" w:pos="720"/>
          <w:tab w:val="num" w:pos="1440"/>
        </w:tabs>
        <w:ind w:left="1440"/>
      </w:pPr>
      <w:r>
        <w:t>GHG emissions associated with permitted development. </w:t>
      </w:r>
    </w:p>
    <w:p w14:paraId="2C7612BE" w14:textId="77777777" w:rsidR="00A26CC4" w:rsidRDefault="00A26CC4" w:rsidP="00A26CC4">
      <w:pPr>
        <w:pStyle w:val="BodyText1"/>
        <w:ind w:left="720" w:hanging="720"/>
      </w:pPr>
      <w:r>
        <w:t>3.7</w:t>
      </w:r>
      <w:r>
        <w:tab/>
        <w:t>Avoidance of other CRS on a site wherever possible is sought to limit loss of habitat or areas that could be restored to a neutral or carbon positive sequestering state and to minimise the loss of soil carbon to air or water.  </w:t>
      </w:r>
    </w:p>
    <w:p w14:paraId="48B9CD21" w14:textId="77777777" w:rsidR="00A26CC4" w:rsidRDefault="00A26CC4" w:rsidP="00A26CC4">
      <w:pPr>
        <w:pStyle w:val="BodyText1"/>
        <w:rPr>
          <w:rFonts w:asciiTheme="majorHAnsi" w:hAnsiTheme="majorHAnsi" w:cstheme="majorHAnsi"/>
          <w:color w:val="016574" w:themeColor="accent6"/>
          <w:sz w:val="32"/>
          <w:szCs w:val="32"/>
        </w:rPr>
      </w:pPr>
      <w:r>
        <w:rPr>
          <w:rFonts w:asciiTheme="majorHAnsi" w:hAnsiTheme="majorHAnsi" w:cstheme="majorHAnsi"/>
          <w:b/>
          <w:color w:val="016574" w:themeColor="accent6"/>
          <w:sz w:val="32"/>
          <w:szCs w:val="32"/>
        </w:rPr>
        <w:t>4.</w:t>
      </w:r>
      <w:r>
        <w:rPr>
          <w:rFonts w:asciiTheme="majorHAnsi" w:hAnsiTheme="majorHAnsi" w:cstheme="majorHAnsi"/>
          <w:sz w:val="32"/>
          <w:szCs w:val="32"/>
        </w:rPr>
        <w:tab/>
      </w:r>
      <w:r>
        <w:rPr>
          <w:rFonts w:asciiTheme="majorHAnsi" w:hAnsiTheme="majorHAnsi" w:cstheme="majorHAnsi"/>
          <w:b/>
          <w:color w:val="016574" w:themeColor="accent6"/>
          <w:sz w:val="32"/>
          <w:szCs w:val="32"/>
        </w:rPr>
        <w:t>Assessment</w:t>
      </w:r>
      <w:r>
        <w:rPr>
          <w:rFonts w:asciiTheme="majorHAnsi" w:hAnsiTheme="majorHAnsi" w:cstheme="majorHAnsi"/>
          <w:color w:val="016574" w:themeColor="accent6"/>
          <w:sz w:val="32"/>
          <w:szCs w:val="32"/>
        </w:rPr>
        <w:t> </w:t>
      </w:r>
    </w:p>
    <w:p w14:paraId="1AFF371E" w14:textId="5A598559" w:rsidR="00A26CC4" w:rsidRDefault="00A26CC4" w:rsidP="00A26CC4">
      <w:pPr>
        <w:pStyle w:val="BodyText1"/>
        <w:ind w:left="720" w:hanging="720"/>
      </w:pPr>
      <w:r>
        <w:t>4.1</w:t>
      </w:r>
      <w:r>
        <w:tab/>
        <w:t xml:space="preserve">In line with part d) of NPF4 </w:t>
      </w:r>
      <w:r w:rsidR="005177A1">
        <w:t>P</w:t>
      </w:r>
      <w:r>
        <w:t xml:space="preserve">olicy 5, a detailed assessment will be required to inform the design of development proposals in accordance with the mitigation hierarchy. This includes avoiding areas of near natural peat and deeper peat in the first instance, and </w:t>
      </w:r>
      <w:r>
        <w:lastRenderedPageBreak/>
        <w:t xml:space="preserve">then areas of other CRS. We will lodge an </w:t>
      </w:r>
      <w:r>
        <w:rPr>
          <w:b/>
          <w:bCs/>
        </w:rPr>
        <w:t xml:space="preserve">objection </w:t>
      </w:r>
      <w:r>
        <w:t>if insufficient information is provided to demonstrate this.</w:t>
      </w:r>
    </w:p>
    <w:p w14:paraId="4BF2425B" w14:textId="77777777" w:rsidR="00A26CC4" w:rsidRDefault="00A26CC4" w:rsidP="00A26CC4">
      <w:pPr>
        <w:pStyle w:val="BodyText1"/>
        <w:ind w:left="720" w:hanging="720"/>
      </w:pPr>
      <w:r>
        <w:t>4.2</w:t>
      </w:r>
      <w:r>
        <w:tab/>
        <w:t>The submission should include a series of layout drawings overlaid on peat depth surveys showing interpolated peat depths</w:t>
      </w:r>
      <w:r w:rsidRPr="00373818">
        <w:t>. In line with the</w:t>
      </w:r>
      <w:r>
        <w:rPr>
          <w:u w:val="single"/>
        </w:rPr>
        <w:t xml:space="preserve"> </w:t>
      </w:r>
      <w:hyperlink r:id="rId18" w:history="1">
        <w:r>
          <w:rPr>
            <w:rStyle w:val="Hyperlink"/>
          </w:rPr>
          <w:t>Peatland Survey – Guidance on Developments on Peatland (2017)</w:t>
        </w:r>
      </w:hyperlink>
      <w:r>
        <w:rPr>
          <w:u w:val="single"/>
        </w:rPr>
        <w:t xml:space="preserve"> </w:t>
      </w:r>
      <w:r>
        <w:t>the peat survey should assess the presence of any peat layer even when less than 50cm deep. The layout drawings should be at a usable scale and show all permanent and temporary infrastructure, with extent of excavation required. </w:t>
      </w:r>
    </w:p>
    <w:p w14:paraId="27E86956" w14:textId="77777777" w:rsidR="00A26CC4" w:rsidRDefault="00A26CC4" w:rsidP="00A26CC4">
      <w:pPr>
        <w:pStyle w:val="BodyText1"/>
        <w:ind w:left="720" w:hanging="720"/>
      </w:pPr>
      <w:r>
        <w:t>4.3</w:t>
      </w:r>
      <w:r>
        <w:tab/>
        <w:t xml:space="preserve">The peat depth survey should show peat probe locations, colour coded using distinct colours for each depth category. This must include adequate peat probing information to inform the site layout in accordance with the mitigation hierarchy in NPF4, which may be more than that outlined in the </w:t>
      </w:r>
      <w:hyperlink r:id="rId19" w:history="1">
        <w:r>
          <w:rPr>
            <w:rStyle w:val="Hyperlink"/>
          </w:rPr>
          <w:t>Peatland Survey – Guidance on Developments on Peatland (2017).</w:t>
        </w:r>
      </w:hyperlink>
      <w:r>
        <w:t>  </w:t>
      </w:r>
    </w:p>
    <w:p w14:paraId="1A1DDEA3" w14:textId="77777777" w:rsidR="00A26CC4" w:rsidRDefault="00A26CC4" w:rsidP="00A26CC4">
      <w:pPr>
        <w:pStyle w:val="BodyText1"/>
        <w:ind w:left="720" w:hanging="720"/>
      </w:pPr>
      <w:r>
        <w:t>4.4</w:t>
      </w:r>
      <w:r>
        <w:tab/>
        <w:t xml:space="preserve">A Peatland condition mapping assessment should also be submitted – the </w:t>
      </w:r>
      <w:hyperlink r:id="rId20" w:history="1">
        <w:r>
          <w:rPr>
            <w:rStyle w:val="Hyperlink"/>
          </w:rPr>
          <w:t>Peatland Condition Assessment</w:t>
        </w:r>
      </w:hyperlink>
      <w:r>
        <w:t xml:space="preserve"> photographic guide lists the criteria for each condition category and illustrates how to identify each condition category.</w:t>
      </w:r>
    </w:p>
    <w:p w14:paraId="06F2D741" w14:textId="77777777" w:rsidR="00A26CC4" w:rsidRDefault="00A26CC4" w:rsidP="00A26CC4">
      <w:pPr>
        <w:pStyle w:val="BodyText1"/>
        <w:ind w:left="720" w:hanging="720"/>
        <w:rPr>
          <w:color w:val="016574" w:themeColor="hyperlink"/>
          <w:u w:val="single"/>
        </w:rPr>
      </w:pPr>
      <w:r>
        <w:t>4.5</w:t>
      </w:r>
      <w:r>
        <w:tab/>
        <w:t>In summary, the PMP should clearly set out the volumes of excavated acrotelmic, catotelmic, amorphous peat and peaty/organo-mineral soils and how this material will be managed. Unless the excavated material is certain to be used for construction purposes in its natural state on the site from where it is excavated, it will be subject to waste regulatory controls. Excavated material will be waste if it is discarded, or the holder intends to or is required to discard it. In accordance with waste regulatory controls, material that cannot be used on site or for reinstatement, revegetation or peatland restoration and must be treated or processed before it can be used, or is sent for disposal, is waste. Suitable evidence should be provided to show that excavated CRS has a genuine use and is not a waste disposal operation. </w:t>
      </w:r>
      <w:r>
        <w:rPr>
          <w:color w:val="000000"/>
        </w:rPr>
        <w:t>Further guidance on what is considered waste may be found in the document</w:t>
      </w:r>
      <w:hyperlink r:id="rId21" w:history="1">
        <w:r>
          <w:rPr>
            <w:rStyle w:val="Hyperlink"/>
          </w:rPr>
          <w:t> Is it waste - Understanding the definition of waste.</w:t>
        </w:r>
      </w:hyperlink>
    </w:p>
    <w:p w14:paraId="2D388965" w14:textId="77777777" w:rsidR="00A26CC4" w:rsidRDefault="00A26CC4" w:rsidP="00A26CC4">
      <w:pPr>
        <w:pStyle w:val="BodyText1"/>
        <w:ind w:left="720" w:hanging="720"/>
      </w:pPr>
      <w:r>
        <w:lastRenderedPageBreak/>
        <w:t>4.6</w:t>
      </w:r>
      <w:r>
        <w:tab/>
        <w:t xml:space="preserve">Details of proposals for temporary storage and handling of excavated material should be included in the PMP. </w:t>
      </w:r>
      <w:hyperlink r:id="rId22" w:history="1">
        <w:r>
          <w:rPr>
            <w:rStyle w:val="Hyperlink"/>
          </w:rPr>
          <w:t>Good Practice during Wind Farm Construction</w:t>
        </w:r>
      </w:hyperlink>
      <w:r>
        <w:t xml:space="preserve"> outlines the approach to good practice when addressing issues of soil management on site and minimising carbon loss.  </w:t>
      </w:r>
    </w:p>
    <w:p w14:paraId="6CFBA4AE" w14:textId="77777777" w:rsidR="00A26CC4" w:rsidRDefault="00A26CC4" w:rsidP="00A26CC4">
      <w:pPr>
        <w:pStyle w:val="BodyText1"/>
        <w:ind w:left="720" w:hanging="720"/>
      </w:pPr>
      <w:r>
        <w:t xml:space="preserve">4.7 </w:t>
      </w:r>
      <w:r>
        <w:tab/>
        <w:t xml:space="preserve">The PMP should include suitable evidence that the use of excavated material in making good areas disturbed by development, including borrow pits, is genuine and not a waste disposal operation, including evidence of the suitability of the material and evidence that the quantity used matches and does not exceed the requirement of the proposed use. </w:t>
      </w:r>
    </w:p>
    <w:p w14:paraId="0CE9A1DF" w14:textId="77777777" w:rsidR="00A26CC4" w:rsidRDefault="00A26CC4" w:rsidP="00A26CC4">
      <w:pPr>
        <w:pStyle w:val="BodyText1"/>
        <w:ind w:left="720" w:hanging="720"/>
        <w:rPr>
          <w:rFonts w:asciiTheme="majorHAnsi" w:hAnsiTheme="majorHAnsi" w:cstheme="majorBidi"/>
          <w:color w:val="016574" w:themeColor="accent6"/>
          <w:sz w:val="32"/>
          <w:szCs w:val="32"/>
        </w:rPr>
      </w:pPr>
      <w:r>
        <w:t xml:space="preserve">4.8 </w:t>
      </w:r>
      <w:r>
        <w:tab/>
        <w:t>If excavated material is to be used in the reinstatement of borrow pits on site, cross sections and plans should be provided showing the proposed maximum depth profiles for each category of CRS, phasing and final restoration profiles in relation to surrounding land with a clear hydrological justification for the use of catotelmic peat also being given. The target restoration habitat for each borrow pit should be specified, along with how this will be maintained and managed in perpetuity.</w:t>
      </w:r>
    </w:p>
    <w:p w14:paraId="79F3A8D2" w14:textId="77777777" w:rsidR="00A26CC4" w:rsidRDefault="00A26CC4" w:rsidP="00A26CC4">
      <w:pPr>
        <w:pStyle w:val="BodyText1"/>
        <w:ind w:left="720" w:hanging="720"/>
        <w:rPr>
          <w:rFonts w:asciiTheme="majorHAnsi" w:hAnsiTheme="majorHAnsi" w:cstheme="majorBidi"/>
          <w:color w:val="016574" w:themeColor="accent6"/>
          <w:sz w:val="32"/>
          <w:szCs w:val="32"/>
        </w:rPr>
      </w:pPr>
      <w:r>
        <w:rPr>
          <w:rFonts w:asciiTheme="majorHAnsi" w:hAnsiTheme="majorHAnsi" w:cstheme="majorBidi"/>
          <w:b/>
          <w:bCs/>
          <w:color w:val="016574" w:themeColor="accent6"/>
          <w:sz w:val="32"/>
          <w:szCs w:val="32"/>
        </w:rPr>
        <w:t>5.</w:t>
      </w:r>
      <w:r>
        <w:tab/>
      </w:r>
      <w:r>
        <w:rPr>
          <w:rFonts w:asciiTheme="majorHAnsi" w:hAnsiTheme="majorHAnsi" w:cstheme="majorBidi"/>
          <w:b/>
          <w:bCs/>
          <w:color w:val="016574" w:themeColor="accent6"/>
          <w:sz w:val="32"/>
          <w:szCs w:val="32"/>
        </w:rPr>
        <w:t>Local Development Plan site appraisals</w:t>
      </w:r>
      <w:r>
        <w:rPr>
          <w:rFonts w:asciiTheme="majorHAnsi" w:hAnsiTheme="majorHAnsi" w:cstheme="majorBidi"/>
          <w:color w:val="016574" w:themeColor="accent6"/>
          <w:sz w:val="32"/>
          <w:szCs w:val="32"/>
        </w:rPr>
        <w:t>  </w:t>
      </w:r>
    </w:p>
    <w:p w14:paraId="13A08511" w14:textId="3BA4C7B9" w:rsidR="00A26CC4" w:rsidRDefault="00A26CC4" w:rsidP="00A26CC4">
      <w:pPr>
        <w:pStyle w:val="BodyText1"/>
        <w:ind w:left="720" w:hanging="720"/>
      </w:pPr>
      <w:r>
        <w:t>5.1</w:t>
      </w:r>
      <w:r>
        <w:tab/>
        <w:t xml:space="preserve">The protection of CRS should be considered when developing the spatial strategy in line with NPF4 </w:t>
      </w:r>
      <w:r w:rsidR="00071C8A">
        <w:t>P</w:t>
      </w:r>
      <w:r>
        <w:t>olicy 5. The Scottish Government’s LDP guidance recognises soils as one of our most valuable assets and the wider benefits they offer including carbon sequestration, natural flood alleviation and blue green infrastructure. Policy 2 also requires the strategy to be informed by an understanding of the impacts of the proposals on greenhouse gas emissions, guiding development away from vulnerable areas.</w:t>
      </w:r>
    </w:p>
    <w:p w14:paraId="101D8B8F" w14:textId="77777777" w:rsidR="00A26CC4" w:rsidRDefault="00A26CC4" w:rsidP="00A26CC4">
      <w:pPr>
        <w:pStyle w:val="BodyText1"/>
      </w:pPr>
      <w:r>
        <w:t>5.2</w:t>
      </w:r>
      <w:r>
        <w:tab/>
        <w:t xml:space="preserve">The Evidence Report should be used to provide an understanding of the CRS in an area </w:t>
      </w:r>
      <w:r>
        <w:tab/>
        <w:t xml:space="preserve">and should inform the development of the plan’s spatial strategy and the site selection </w:t>
      </w:r>
      <w:r>
        <w:tab/>
      </w:r>
      <w:r>
        <w:tab/>
        <w:t>process.</w:t>
      </w:r>
    </w:p>
    <w:p w14:paraId="587FB122" w14:textId="03A169B3" w:rsidR="00A26CC4" w:rsidRDefault="00A26CC4" w:rsidP="00A26CC4">
      <w:pPr>
        <w:pStyle w:val="BodyText1"/>
        <w:ind w:left="720" w:hanging="720"/>
      </w:pPr>
      <w:r>
        <w:t>5.3</w:t>
      </w:r>
      <w:r>
        <w:tab/>
        <w:t xml:space="preserve">The current and any future update of the </w:t>
      </w:r>
      <w:hyperlink r:id="rId23" w:history="1">
        <w:r w:rsidR="008904FB">
          <w:rPr>
            <w:rStyle w:val="Hyperlink"/>
          </w:rPr>
          <w:t>NatureScot Carbon and Peatland Map 2016</w:t>
        </w:r>
      </w:hyperlink>
      <w:r>
        <w:t xml:space="preserve"> should be used as the evidence source to provide an indication of the likely presence of CRS (classes 1, 2, 3 and 5) to inform spatial strategies. It is a high-level planning </w:t>
      </w:r>
      <w:r w:rsidR="00524A0A">
        <w:t>tool,</w:t>
      </w:r>
      <w:r>
        <w:t xml:space="preserve"> and detailed site surveys will be required to inform early consideration of development </w:t>
      </w:r>
      <w:r>
        <w:lastRenderedPageBreak/>
        <w:t xml:space="preserve">proposals. The map and further information on soils can be found on </w:t>
      </w:r>
      <w:hyperlink r:id="rId24" w:history="1">
        <w:r w:rsidR="008904FB">
          <w:rPr>
            <w:rStyle w:val="Hyperlink"/>
          </w:rPr>
          <w:t>Scotland’s Soils website.</w:t>
        </w:r>
      </w:hyperlink>
      <w:r>
        <w:t> </w:t>
      </w:r>
    </w:p>
    <w:p w14:paraId="35BB4A6E" w14:textId="77777777" w:rsidR="00A26CC4" w:rsidRDefault="00A26CC4" w:rsidP="00A26CC4">
      <w:pPr>
        <w:pStyle w:val="BodyText1"/>
        <w:ind w:left="720" w:hanging="720"/>
      </w:pPr>
      <w:r>
        <w:t>5.4</w:t>
      </w:r>
      <w:r>
        <w:tab/>
        <w:t xml:space="preserve">As set out in our </w:t>
      </w:r>
      <w:hyperlink r:id="rId25" w:history="1">
        <w:r>
          <w:rPr>
            <w:rStyle w:val="Hyperlink"/>
          </w:rPr>
          <w:t>Site Appraisal guidance</w:t>
        </w:r>
      </w:hyperlink>
      <w:r>
        <w:t xml:space="preserve"> we don’t require to be consulted on allocations on peatland or CRS. The soil information in the Evidence Report and where necessary a soil assessment should have been used to inform site allocations. As outlined in section 3 above we do require to be consulted on development proposals on peatland or CRS which fall within our consultation thresholds at the development management stage. This is the stage where we will give detailed site-specific advice.  </w:t>
      </w:r>
    </w:p>
    <w:p w14:paraId="6D233912" w14:textId="698A2459" w:rsidR="00A26CC4" w:rsidRDefault="00A26CC4" w:rsidP="00A26CC4">
      <w:pPr>
        <w:pStyle w:val="BodyText1"/>
        <w:ind w:left="720" w:hanging="720"/>
      </w:pPr>
      <w:r>
        <w:t>5.5</w:t>
      </w:r>
      <w:r>
        <w:tab/>
        <w:t xml:space="preserve">Any sites on CRS which are exceptions under </w:t>
      </w:r>
      <w:r w:rsidR="00335FB1">
        <w:t>P</w:t>
      </w:r>
      <w:r>
        <w:t xml:space="preserve">olicy 5 will be required to carry out a detailed site assessment at the planning application stage in accordance with the </w:t>
      </w:r>
      <w:hyperlink r:id="rId26" w:history="1">
        <w:r>
          <w:rPr>
            <w:rStyle w:val="Hyperlink"/>
          </w:rPr>
          <w:t>Scottish Government’s Peatland Survey Guidance, 2017</w:t>
        </w:r>
      </w:hyperlink>
      <w:r>
        <w:t>. The assessment should inform careful project design and ensure, in accordance with relevant guidance and the mitigation hierarchy, that adverse impacts are first avoided and then minimised through best practice.</w:t>
      </w:r>
    </w:p>
    <w:p w14:paraId="7B5162F1" w14:textId="4F7F3556" w:rsidR="00A26CC4" w:rsidRDefault="00A26CC4" w:rsidP="00A26CC4">
      <w:pPr>
        <w:pStyle w:val="BodyText1"/>
        <w:ind w:left="720" w:hanging="720"/>
      </w:pPr>
      <w:r>
        <w:t>5.6</w:t>
      </w:r>
      <w:r>
        <w:tab/>
        <w:t xml:space="preserve">In accordance with </w:t>
      </w:r>
      <w:r w:rsidR="00071C8A">
        <w:t>P</w:t>
      </w:r>
      <w:r>
        <w:t xml:space="preserve">olicy 5 proposed development on CRS outwith the exceptions in part c) are contrary to this policy. The information in the Evidence Report should be used to avoid development on CRS sites. Where the </w:t>
      </w:r>
      <w:hyperlink r:id="rId27" w:history="1">
        <w:r w:rsidR="00413C4E">
          <w:rPr>
            <w:rStyle w:val="Hyperlink"/>
          </w:rPr>
          <w:t>NatureScot Carbon and Peatland Map 2016</w:t>
        </w:r>
      </w:hyperlink>
      <w:r>
        <w:t xml:space="preserve"> indicates that there may be CRS present a more detailed soil survey should be carried out to determine the extent of CRS and whether development is potentially viable. Depending on the distribution of CRS it may be possible to develop the site avoiding areas of CRS. However, an alternative site selection may be necessary where CRS covers most of the site. </w:t>
      </w:r>
    </w:p>
    <w:p w14:paraId="7C4DBE0B" w14:textId="77777777" w:rsidR="00A26CC4" w:rsidRDefault="00A26CC4" w:rsidP="00A26CC4">
      <w:pPr>
        <w:pStyle w:val="BodyText1"/>
        <w:ind w:left="720" w:hanging="720"/>
      </w:pPr>
      <w:r>
        <w:t>5.7</w:t>
      </w:r>
      <w:r>
        <w:tab/>
        <w:t>Exceptionally we can provide technical advice on the mitigation hierarchy and the adequacy of soil assessments. Prior to consultation with us allocations should have gone through an initial site assessment and/or SEA site assessment and be potentially viable. A soil assessment should be accompanied with the consultation on these sites.</w:t>
      </w:r>
    </w:p>
    <w:p w14:paraId="54240F43" w14:textId="6B86E1E5" w:rsidR="006243FF" w:rsidRPr="001811E2" w:rsidRDefault="006243FF" w:rsidP="001811E2">
      <w:pPr>
        <w:pStyle w:val="BodyText1"/>
        <w:rPr>
          <w:rFonts w:eastAsia="Times New Roman"/>
        </w:rPr>
      </w:pPr>
    </w:p>
    <w:sectPr w:rsidR="006243FF" w:rsidRPr="001811E2" w:rsidSect="00917BB1">
      <w:headerReference w:type="even" r:id="rId28"/>
      <w:headerReference w:type="default" r:id="rId29"/>
      <w:footerReference w:type="even" r:id="rId30"/>
      <w:footerReference w:type="default" r:id="rId31"/>
      <w:headerReference w:type="first" r:id="rId32"/>
      <w:footerReference w:type="first" r:id="rId3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8048" w14:textId="77777777" w:rsidR="00E563DF" w:rsidRDefault="00E563DF" w:rsidP="00660C79">
      <w:pPr>
        <w:spacing w:line="240" w:lineRule="auto"/>
      </w:pPr>
      <w:r>
        <w:separator/>
      </w:r>
    </w:p>
  </w:endnote>
  <w:endnote w:type="continuationSeparator" w:id="0">
    <w:p w14:paraId="5E324B54" w14:textId="77777777" w:rsidR="00E563DF" w:rsidRDefault="00E563DF" w:rsidP="00660C79">
      <w:pPr>
        <w:spacing w:line="240" w:lineRule="auto"/>
      </w:pPr>
      <w:r>
        <w:continuationSeparator/>
      </w:r>
    </w:p>
  </w:endnote>
  <w:endnote w:type="continuationNotice" w:id="1">
    <w:p w14:paraId="46C29CFF" w14:textId="77777777" w:rsidR="00E563DF" w:rsidRDefault="00E563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694B" w14:textId="3325D2B0" w:rsidR="00EC6A73" w:rsidRDefault="002B47E2" w:rsidP="001138C7">
    <w:pPr>
      <w:pStyle w:val="Footer"/>
      <w:framePr w:wrap="none" w:vAnchor="text" w:hAnchor="margin" w:xAlign="right" w:y="1"/>
      <w:rPr>
        <w:rStyle w:val="PageNumber"/>
      </w:rPr>
    </w:pPr>
    <w:r>
      <w:rPr>
        <w:noProof/>
      </w:rPr>
      <mc:AlternateContent>
        <mc:Choice Requires="wps">
          <w:drawing>
            <wp:anchor distT="0" distB="0" distL="0" distR="0" simplePos="0" relativeHeight="251681797" behindDoc="0" locked="0" layoutInCell="1" allowOverlap="1" wp14:anchorId="4D107D2F" wp14:editId="1E442B6A">
              <wp:simplePos x="635" y="635"/>
              <wp:positionH relativeFrom="page">
                <wp:align>center</wp:align>
              </wp:positionH>
              <wp:positionV relativeFrom="page">
                <wp:align>bottom</wp:align>
              </wp:positionV>
              <wp:extent cx="421005" cy="422910"/>
              <wp:effectExtent l="0" t="0" r="17145" b="0"/>
              <wp:wrapNone/>
              <wp:docPr id="1618834565"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55A88BE" w14:textId="0D3CB4A6" w:rsidR="002B47E2" w:rsidRPr="002B47E2" w:rsidRDefault="002B47E2" w:rsidP="002B47E2">
                          <w:pPr>
                            <w:rPr>
                              <w:rFonts w:ascii="Aptos" w:eastAsia="Aptos" w:hAnsi="Aptos" w:cs="Aptos"/>
                              <w:noProof/>
                              <w:color w:val="000000"/>
                              <w:sz w:val="20"/>
                              <w:szCs w:val="20"/>
                            </w:rPr>
                          </w:pPr>
                          <w:r w:rsidRPr="002B47E2">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107D2F" id="_x0000_t202" coordsize="21600,21600" o:spt="202" path="m,l,21600r21600,l21600,xe">
              <v:stroke joinstyle="miter"/>
              <v:path gradientshapeok="t" o:connecttype="rect"/>
            </v:shapetype>
            <v:shape id="Text Box 5" o:spid="_x0000_s1028" type="#_x0000_t202" alt="PUBLIC" style="position:absolute;margin-left:0;margin-top:0;width:33.15pt;height:33.3pt;z-index:2516817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555A88BE" w14:textId="0D3CB4A6" w:rsidR="002B47E2" w:rsidRPr="002B47E2" w:rsidRDefault="002B47E2" w:rsidP="002B47E2">
                    <w:pPr>
                      <w:rPr>
                        <w:rFonts w:ascii="Aptos" w:eastAsia="Aptos" w:hAnsi="Aptos" w:cs="Aptos"/>
                        <w:noProof/>
                        <w:color w:val="000000"/>
                        <w:sz w:val="20"/>
                        <w:szCs w:val="20"/>
                      </w:rPr>
                    </w:pPr>
                    <w:r w:rsidRPr="002B47E2">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264DA24C"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168618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73291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CA775" w14:textId="6369C601" w:rsidR="00EC6A73" w:rsidRDefault="002B47E2" w:rsidP="00917BB1">
    <w:pPr>
      <w:pStyle w:val="Footer"/>
      <w:ind w:right="360"/>
    </w:pPr>
    <w:r>
      <w:rPr>
        <w:noProof/>
      </w:rPr>
      <mc:AlternateContent>
        <mc:Choice Requires="wps">
          <w:drawing>
            <wp:anchor distT="0" distB="0" distL="0" distR="0" simplePos="0" relativeHeight="251682821" behindDoc="0" locked="0" layoutInCell="1" allowOverlap="1" wp14:anchorId="6BDDFF6F" wp14:editId="4DA03969">
              <wp:simplePos x="635" y="635"/>
              <wp:positionH relativeFrom="page">
                <wp:align>center</wp:align>
              </wp:positionH>
              <wp:positionV relativeFrom="page">
                <wp:align>bottom</wp:align>
              </wp:positionV>
              <wp:extent cx="421005" cy="422910"/>
              <wp:effectExtent l="0" t="0" r="17145" b="0"/>
              <wp:wrapNone/>
              <wp:docPr id="1279754326"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0001A8E" w14:textId="0F079141" w:rsidR="002B47E2" w:rsidRPr="002B47E2" w:rsidRDefault="002B47E2" w:rsidP="002B47E2">
                          <w:pPr>
                            <w:rPr>
                              <w:rFonts w:ascii="Aptos" w:eastAsia="Aptos" w:hAnsi="Aptos" w:cs="Aptos"/>
                              <w:noProof/>
                              <w:color w:val="000000"/>
                              <w:sz w:val="20"/>
                              <w:szCs w:val="20"/>
                            </w:rPr>
                          </w:pPr>
                          <w:r w:rsidRPr="002B47E2">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DDFF6F" id="_x0000_t202" coordsize="21600,21600" o:spt="202" path="m,l,21600r21600,l21600,xe">
              <v:stroke joinstyle="miter"/>
              <v:path gradientshapeok="t" o:connecttype="rect"/>
            </v:shapetype>
            <v:shape id="Text Box 6" o:spid="_x0000_s1029" type="#_x0000_t202" alt="PUBLIC" style="position:absolute;margin-left:0;margin-top:0;width:33.15pt;height:33.3pt;z-index:25168282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BINDwIAABwEAAAOAAAAZHJzL2Uyb0RvYy54bWysU01v2zAMvQ/YfxB0X2wH7bYacYqsRYYB&#10;QVsgHXpWZDk2IIkCpcTOfv0oJU62rqdiF5kmKX689zS7HYxme4W+A1vxYpJzpqyEurPbiv98Xn76&#10;ypkPwtZCg1UVPyjPb+cfP8x6V6optKBrhYyKWF/2ruJtCK7MMi9bZYSfgFOWgg2gEYF+cZvVKHqq&#10;bnQ2zfPPWQ9YOwSpvCfv/THI56l+0ygZHpvGq8B0xWm2kE5M5yae2Xwmyi0K13byNIZ4xxRGdJaa&#10;nkvdiyDYDrt/SplOInhowkSCyaBpOqnSDrRNkb/aZt0Kp9IuBI53Z5j8/ysrH/Zr94QsDN9gIAIj&#10;IL3zpSdn3Gdo0MQvTcooThAezrCpITBJzqtpkefXnEkKXU2nN0WCNbtcdujDdwWGRaPiSKwksMR+&#10;5QM1pNQxJfaysOy0Tsxo+5eDEqMnu0wYrTBsBtbVFf8y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A8dBIN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30001A8E" w14:textId="0F079141" w:rsidR="002B47E2" w:rsidRPr="002B47E2" w:rsidRDefault="002B47E2" w:rsidP="002B47E2">
                    <w:pPr>
                      <w:rPr>
                        <w:rFonts w:ascii="Aptos" w:eastAsia="Aptos" w:hAnsi="Aptos" w:cs="Aptos"/>
                        <w:noProof/>
                        <w:color w:val="000000"/>
                        <w:sz w:val="20"/>
                        <w:szCs w:val="20"/>
                      </w:rPr>
                    </w:pPr>
                    <w:r w:rsidRPr="002B47E2">
                      <w:rPr>
                        <w:rFonts w:ascii="Aptos" w:eastAsia="Aptos" w:hAnsi="Aptos" w:cs="Aptos"/>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4" behindDoc="0" locked="0" layoutInCell="0" allowOverlap="1" wp14:anchorId="6FA5833B" wp14:editId="3BA865F2">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056163" w14:textId="1E7C9CFC" w:rsidR="00CE7AD0" w:rsidRPr="00CE7AD0" w:rsidRDefault="00CE7AD0" w:rsidP="00E55CDF">
                          <w:pP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FA5833B" id="Text Box 8" o:spid="_x0000_s1030"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MDFwIAACsEAAAOAAAAZHJzL2Uyb0RvYy54bWysU99v2jAQfp+0/8Hy+0igQL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81nOYY4xibXV/ks4Zpdblvnw1cBmkSjpA5pSWix&#10;48YH7IipQ0psZmDdKJWoUYa0JZ1fYcnfInhDGbx4mTVaodt1pKlKOh322EF1wvUc9Mx7y9cNzrBh&#10;Pjwxh1Tj2Cjf8IiHVIC94GxRUoP7+Td/zEcGMEpJi9Ipqf9xYE5Qor4Z5ObzeDqNWks/aLi33t3g&#10;NQd9B6jKMT4Qy5MZc4MaTOlAv6C6V7Ebhpjh2LOku8G8C72Q8XVwsVqlJFSVZWFjtpbH0hGziOxz&#10;98KcPcMfkLgHGMTFincs9Lk92qtDANkk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SmkDAxcCAAArBAAADgAAAAAAAAAAAAAAAAAuAgAAZHJzL2Uyb0RvYy54bWxQSwECLQAUAAYA&#10;CAAAACEArHvBjN4AAAALAQAADwAAAAAAAAAAAAAAAABxBAAAZHJzL2Rvd25yZXYueG1sUEsFBgAA&#10;AAAEAAQA8wAAAHwFAAAAAA==&#10;" o:allowincell="f" filled="f" stroked="f" strokeweight=".5pt">
              <v:textbox inset=",0,,0">
                <w:txbxContent>
                  <w:p w14:paraId="41056163" w14:textId="1E7C9CFC" w:rsidR="00CE7AD0" w:rsidRPr="00CE7AD0" w:rsidRDefault="00CE7AD0" w:rsidP="00E55CDF">
                    <w:pPr>
                      <w:rPr>
                        <w:rFonts w:ascii="Calibri" w:hAnsi="Calibri" w:cs="Calibri"/>
                        <w:color w:val="0000FF"/>
                        <w:sz w:val="20"/>
                      </w:rPr>
                    </w:pPr>
                  </w:p>
                </w:txbxContent>
              </v:textbox>
              <w10:wrap anchorx="page" anchory="page"/>
            </v:shape>
          </w:pict>
        </mc:Fallback>
      </mc:AlternateContent>
    </w:r>
  </w:p>
  <w:p w14:paraId="59D0EB19"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65BC3F7" wp14:editId="4979A668">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21AE2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ED815BE"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C6F6F0" w14:textId="77777777" w:rsidR="00917BB1" w:rsidRDefault="00917BB1" w:rsidP="00917BB1">
    <w:pPr>
      <w:pStyle w:val="Footer"/>
      <w:ind w:right="360"/>
    </w:pPr>
    <w:r>
      <w:rPr>
        <w:noProof/>
      </w:rPr>
      <w:drawing>
        <wp:inline distT="0" distB="0" distL="0" distR="0" wp14:anchorId="5AF1CF27" wp14:editId="09A4F02D">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478D" w14:textId="4E03E21F" w:rsidR="00CE7AD0" w:rsidRDefault="002B47E2">
    <w:pPr>
      <w:pStyle w:val="Footer"/>
    </w:pPr>
    <w:r>
      <w:rPr>
        <w:noProof/>
      </w:rPr>
      <mc:AlternateContent>
        <mc:Choice Requires="wps">
          <w:drawing>
            <wp:anchor distT="0" distB="0" distL="0" distR="0" simplePos="0" relativeHeight="251680773" behindDoc="0" locked="0" layoutInCell="1" allowOverlap="1" wp14:anchorId="06069668" wp14:editId="30F3C542">
              <wp:simplePos x="635" y="635"/>
              <wp:positionH relativeFrom="page">
                <wp:align>center</wp:align>
              </wp:positionH>
              <wp:positionV relativeFrom="page">
                <wp:align>bottom</wp:align>
              </wp:positionV>
              <wp:extent cx="421005" cy="422910"/>
              <wp:effectExtent l="0" t="0" r="17145" b="0"/>
              <wp:wrapNone/>
              <wp:docPr id="1741990598"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A8A103A" w14:textId="0D9D41D0" w:rsidR="002B47E2" w:rsidRPr="002B47E2" w:rsidRDefault="002B47E2" w:rsidP="002B47E2">
                          <w:pPr>
                            <w:rPr>
                              <w:rFonts w:ascii="Aptos" w:eastAsia="Aptos" w:hAnsi="Aptos" w:cs="Aptos"/>
                              <w:noProof/>
                              <w:color w:val="000000"/>
                              <w:sz w:val="20"/>
                              <w:szCs w:val="20"/>
                            </w:rPr>
                          </w:pPr>
                          <w:r w:rsidRPr="002B47E2">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069668" id="_x0000_t202" coordsize="21600,21600" o:spt="202" path="m,l,21600r21600,l21600,xe">
              <v:stroke joinstyle="miter"/>
              <v:path gradientshapeok="t" o:connecttype="rect"/>
            </v:shapetype>
            <v:shape id="Text Box 4" o:spid="_x0000_s1033" type="#_x0000_t202" alt="PUBLIC" style="position:absolute;margin-left:0;margin-top:0;width:33.15pt;height:33.3pt;z-index:2516807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2A8A103A" w14:textId="0D9D41D0" w:rsidR="002B47E2" w:rsidRPr="002B47E2" w:rsidRDefault="002B47E2" w:rsidP="002B47E2">
                    <w:pPr>
                      <w:rPr>
                        <w:rFonts w:ascii="Aptos" w:eastAsia="Aptos" w:hAnsi="Aptos" w:cs="Aptos"/>
                        <w:noProof/>
                        <w:color w:val="000000"/>
                        <w:sz w:val="20"/>
                        <w:szCs w:val="20"/>
                      </w:rPr>
                    </w:pPr>
                    <w:r w:rsidRPr="002B47E2">
                      <w:rPr>
                        <w:rFonts w:ascii="Aptos" w:eastAsia="Aptos" w:hAnsi="Aptos" w:cs="Aptos"/>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5" behindDoc="0" locked="0" layoutInCell="0" allowOverlap="1" wp14:anchorId="1D5FF2DB" wp14:editId="04F46D51">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7BEA7B"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D5FF2DB" id="Text Box 9" o:spid="_x0000_s1034"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zT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b4c9tlAdcT0HPfPe8lWDM6yZ&#10;D8/MIdU4Nso3POEhFWAvOFmU1OB+/s0f85EBjFLSonRK6n/smROUqG8Gufk8vr6OWks/aLi33u3g&#10;NXt9D6jKMT4Qy5MZc4MaTOlAv6K6l7Ebhpjh2LOk28G8D72Q8XVwsVymJFSVZWFtNpbH0hGziOxL&#10;98qcPcEfkLhHGMTFincs9Lk92st9ANkkiiK+PZon2FGRibnT64mSf/ufsi5vfPE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Tza80xcCAAArBAAADgAAAAAAAAAAAAAAAAAuAgAAZHJzL2Uyb0RvYy54bWxQSwECLQAUAAYA&#10;CAAAACEArHvBjN4AAAALAQAADwAAAAAAAAAAAAAAAABxBAAAZHJzL2Rvd25yZXYueG1sUEsFBgAA&#10;AAAEAAQA8wAAAHwFAAAAAA==&#10;" o:allowincell="f" filled="f" stroked="f" strokeweight=".5pt">
              <v:textbox inset=",0,,0">
                <w:txbxContent>
                  <w:p w14:paraId="597BEA7B"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8C19" w14:textId="77777777" w:rsidR="00E563DF" w:rsidRDefault="00E563DF" w:rsidP="00660C79">
      <w:pPr>
        <w:spacing w:line="240" w:lineRule="auto"/>
      </w:pPr>
      <w:r>
        <w:separator/>
      </w:r>
    </w:p>
  </w:footnote>
  <w:footnote w:type="continuationSeparator" w:id="0">
    <w:p w14:paraId="64C8AB84" w14:textId="77777777" w:rsidR="00E563DF" w:rsidRDefault="00E563DF" w:rsidP="00660C79">
      <w:pPr>
        <w:spacing w:line="240" w:lineRule="auto"/>
      </w:pPr>
      <w:r>
        <w:continuationSeparator/>
      </w:r>
    </w:p>
  </w:footnote>
  <w:footnote w:type="continuationNotice" w:id="1">
    <w:p w14:paraId="2D3A0094" w14:textId="77777777" w:rsidR="00E563DF" w:rsidRDefault="00E563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DEC8" w14:textId="6991F66F" w:rsidR="0045412D" w:rsidRDefault="002B47E2">
    <w:pPr>
      <w:pStyle w:val="Header"/>
    </w:pPr>
    <w:r>
      <w:rPr>
        <w:noProof/>
      </w:rPr>
      <mc:AlternateContent>
        <mc:Choice Requires="wps">
          <w:drawing>
            <wp:anchor distT="0" distB="0" distL="0" distR="0" simplePos="0" relativeHeight="251678725" behindDoc="0" locked="0" layoutInCell="1" allowOverlap="1" wp14:anchorId="1FA7DDD6" wp14:editId="061BE7AA">
              <wp:simplePos x="635" y="635"/>
              <wp:positionH relativeFrom="page">
                <wp:align>center</wp:align>
              </wp:positionH>
              <wp:positionV relativeFrom="page">
                <wp:align>top</wp:align>
              </wp:positionV>
              <wp:extent cx="421005" cy="422910"/>
              <wp:effectExtent l="0" t="0" r="17145" b="15240"/>
              <wp:wrapNone/>
              <wp:docPr id="1362828480"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F801E7E" w14:textId="011EA85C" w:rsidR="002B47E2" w:rsidRPr="002B47E2" w:rsidRDefault="002B47E2" w:rsidP="002B47E2">
                          <w:pPr>
                            <w:rPr>
                              <w:rFonts w:ascii="Aptos" w:eastAsia="Aptos" w:hAnsi="Aptos" w:cs="Aptos"/>
                              <w:noProof/>
                              <w:color w:val="000000"/>
                              <w:sz w:val="20"/>
                              <w:szCs w:val="20"/>
                            </w:rPr>
                          </w:pPr>
                          <w:r w:rsidRPr="002B47E2">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A7DDD6" id="_x0000_t202" coordsize="21600,21600" o:spt="202" path="m,l,21600r21600,l21600,xe">
              <v:stroke joinstyle="miter"/>
              <v:path gradientshapeok="t" o:connecttype="rect"/>
            </v:shapetype>
            <v:shape id="Text Box 2" o:spid="_x0000_s1026" type="#_x0000_t202" alt="PUBLIC" style="position:absolute;margin-left:0;margin-top:0;width:33.15pt;height:33.3pt;z-index:25167872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fill o:detectmouseclick="t"/>
              <v:textbox style="mso-fit-shape-to-text:t" inset="0,15pt,0,0">
                <w:txbxContent>
                  <w:p w14:paraId="4F801E7E" w14:textId="011EA85C" w:rsidR="002B47E2" w:rsidRPr="002B47E2" w:rsidRDefault="002B47E2" w:rsidP="002B47E2">
                    <w:pPr>
                      <w:rPr>
                        <w:rFonts w:ascii="Aptos" w:eastAsia="Aptos" w:hAnsi="Aptos" w:cs="Aptos"/>
                        <w:noProof/>
                        <w:color w:val="000000"/>
                        <w:sz w:val="20"/>
                        <w:szCs w:val="20"/>
                      </w:rPr>
                    </w:pPr>
                    <w:r w:rsidRPr="002B47E2">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05D2" w14:textId="625A58DA" w:rsidR="00012E1F" w:rsidRPr="00012E1F" w:rsidRDefault="002B47E2" w:rsidP="00012E1F">
    <w:pPr>
      <w:pStyle w:val="BodyText1"/>
      <w:jc w:val="right"/>
      <w:rPr>
        <w:bCs/>
        <w:noProof/>
        <w:color w:val="6E7571" w:themeColor="text2"/>
      </w:rPr>
    </w:pPr>
    <w:r>
      <w:rPr>
        <w:bCs/>
        <w:noProof/>
        <w:color w:val="6E7571" w:themeColor="text2"/>
      </w:rPr>
      <mc:AlternateContent>
        <mc:Choice Requires="wps">
          <w:drawing>
            <wp:anchor distT="0" distB="0" distL="0" distR="0" simplePos="0" relativeHeight="251679749" behindDoc="0" locked="0" layoutInCell="1" allowOverlap="1" wp14:anchorId="3F0F9DB4" wp14:editId="6466F959">
              <wp:simplePos x="635" y="635"/>
              <wp:positionH relativeFrom="page">
                <wp:align>center</wp:align>
              </wp:positionH>
              <wp:positionV relativeFrom="page">
                <wp:align>top</wp:align>
              </wp:positionV>
              <wp:extent cx="421005" cy="422910"/>
              <wp:effectExtent l="0" t="0" r="17145" b="15240"/>
              <wp:wrapNone/>
              <wp:docPr id="438117952"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EF0B646" w14:textId="438D4D2F" w:rsidR="002B47E2" w:rsidRPr="002B47E2" w:rsidRDefault="002B47E2" w:rsidP="002B47E2">
                          <w:pPr>
                            <w:rPr>
                              <w:rFonts w:ascii="Aptos" w:eastAsia="Aptos" w:hAnsi="Aptos" w:cs="Aptos"/>
                              <w:noProof/>
                              <w:color w:val="000000"/>
                              <w:sz w:val="20"/>
                              <w:szCs w:val="20"/>
                            </w:rPr>
                          </w:pPr>
                          <w:r w:rsidRPr="002B47E2">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0F9DB4"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33.3pt;z-index:2516797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bCDgIAABwEAAAOAAAAZHJzL2Uyb0RvYy54bWysU01v2zAMvQ/YfxB0X2wHzbAacYqsRYYB&#10;QVsgHXpWZCk2IIuCxMTOfv0oJU66bqdhF5kiaX689zS/GzrDDsqHFmzFi0nOmbIS6tbuKv7jZfXp&#10;C2cBha2FAasqflSB3y0+fpj3rlRTaMDUyjMqYkPZu4o3iK7MsiAb1YkwAacsBTX4TiBd/S6rveip&#10;emeyaZ5/znrwtfMgVQjkfTgF+SLV11pJfNI6KGSm4jQbptOncxvPbDEX5c4L17TyPIb4hyk60Vpq&#10;ein1IFCwvW//KNW10kMAjRMJXQZat1KlHWibIn+3zaYRTqVdCJzgLjCF/1dWPh427tkzHL7CQARG&#10;QHoXykDOuM+gfRe/NCmjOEF4vMCmBmSSnDfTIs9nnEkK3Uynt0WCNbv+7HzAbwo6Fo2Ke2IlgSUO&#10;64DUkFLHlNjLwqo1JjFj7G8OSoye7DphtHDYDqytKz4bp99CfaSlPJz4Dk6uWmq9FgGfhSeCaQ8S&#10;LT7RoQ30FYezxVkD/uff/DGfcKcoZz0JpuKWFM2Z+W6Jj6itZBS3+Synmx/d29Gw++4eSIYFvQgn&#10;kxnz0Iym9tC9kpyXsRGFhJXUruI4mvd4Ui49B6mWy5REMnIC13bjZCwd4YpYvgyvwrsz4EhMPcKo&#10;JlG+w/2UG/8MbrlHQj+REqE9AXlGnCSYuDo/l6jxt/eUdX3Ui18A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eM0mwg4CAAAcBAAA&#10;DgAAAAAAAAAAAAAAAAAuAgAAZHJzL2Uyb0RvYy54bWxQSwECLQAUAAYACAAAACEAiAMxbtgAAAAD&#10;AQAADwAAAAAAAAAAAAAAAABoBAAAZHJzL2Rvd25yZXYueG1sUEsFBgAAAAAEAAQA8wAAAG0FAAAA&#10;AA==&#10;" filled="f" stroked="f">
              <v:fill o:detectmouseclick="t"/>
              <v:textbox style="mso-fit-shape-to-text:t" inset="0,15pt,0,0">
                <w:txbxContent>
                  <w:p w14:paraId="0EF0B646" w14:textId="438D4D2F" w:rsidR="002B47E2" w:rsidRPr="002B47E2" w:rsidRDefault="002B47E2" w:rsidP="002B47E2">
                    <w:pPr>
                      <w:rPr>
                        <w:rFonts w:ascii="Aptos" w:eastAsia="Aptos" w:hAnsi="Aptos" w:cs="Aptos"/>
                        <w:noProof/>
                        <w:color w:val="000000"/>
                        <w:sz w:val="20"/>
                        <w:szCs w:val="20"/>
                      </w:rPr>
                    </w:pPr>
                    <w:r w:rsidRPr="002B47E2">
                      <w:rPr>
                        <w:rFonts w:ascii="Aptos" w:eastAsia="Aptos" w:hAnsi="Aptos" w:cs="Aptos"/>
                        <w:noProof/>
                        <w:color w:val="000000"/>
                        <w:sz w:val="20"/>
                        <w:szCs w:val="20"/>
                      </w:rPr>
                      <w:t>PUBLIC</w:t>
                    </w:r>
                  </w:p>
                </w:txbxContent>
              </v:textbox>
              <w10:wrap anchorx="page" anchory="page"/>
            </v:shape>
          </w:pict>
        </mc:Fallback>
      </mc:AlternateContent>
    </w:r>
    <w:r w:rsidR="00012E1F" w:rsidRPr="00012E1F">
      <w:rPr>
        <w:bCs/>
        <w:noProof/>
        <w:color w:val="6E7571" w:themeColor="text2"/>
      </w:rPr>
      <w:t xml:space="preserve">Assessing the impact of developments on peatland </w:t>
    </w:r>
    <w:r w:rsidR="00012E1F">
      <w:rPr>
        <w:bCs/>
        <w:noProof/>
        <w:color w:val="6E7571" w:themeColor="text2"/>
      </w:rPr>
      <w:t>and</w:t>
    </w:r>
    <w:r w:rsidR="00012E1F" w:rsidRPr="00012E1F">
      <w:rPr>
        <w:bCs/>
        <w:noProof/>
        <w:color w:val="6E7571" w:themeColor="text2"/>
      </w:rPr>
      <w:t xml:space="preserve"> carbon rich soils</w:t>
    </w:r>
  </w:p>
  <w:p w14:paraId="4906C418"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1763CE80" wp14:editId="6AF5B820">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5CC6D1"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23E9" w14:textId="28A51BDB" w:rsidR="00CE7AD0" w:rsidRDefault="002B47E2">
    <w:pPr>
      <w:pStyle w:val="Header"/>
    </w:pPr>
    <w:r>
      <w:rPr>
        <w:noProof/>
      </w:rPr>
      <mc:AlternateContent>
        <mc:Choice Requires="wps">
          <w:drawing>
            <wp:anchor distT="0" distB="0" distL="0" distR="0" simplePos="0" relativeHeight="251677701" behindDoc="0" locked="0" layoutInCell="1" allowOverlap="1" wp14:anchorId="612A7407" wp14:editId="42B172CF">
              <wp:simplePos x="635" y="635"/>
              <wp:positionH relativeFrom="page">
                <wp:align>center</wp:align>
              </wp:positionH>
              <wp:positionV relativeFrom="page">
                <wp:align>top</wp:align>
              </wp:positionV>
              <wp:extent cx="421005" cy="422910"/>
              <wp:effectExtent l="0" t="0" r="17145" b="15240"/>
              <wp:wrapNone/>
              <wp:docPr id="670882593"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F44CC41" w14:textId="7D5CAE5B" w:rsidR="002B47E2" w:rsidRPr="002B47E2" w:rsidRDefault="002B47E2" w:rsidP="002B47E2">
                          <w:pPr>
                            <w:rPr>
                              <w:rFonts w:ascii="Aptos" w:eastAsia="Aptos" w:hAnsi="Aptos" w:cs="Aptos"/>
                              <w:noProof/>
                              <w:color w:val="000000"/>
                              <w:sz w:val="20"/>
                              <w:szCs w:val="20"/>
                            </w:rPr>
                          </w:pPr>
                          <w:r w:rsidRPr="002B47E2">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2A7407" id="_x0000_t202" coordsize="21600,21600" o:spt="202" path="m,l,21600r21600,l21600,xe">
              <v:stroke joinstyle="miter"/>
              <v:path gradientshapeok="t" o:connecttype="rect"/>
            </v:shapetype>
            <v:shape id="Text Box 1" o:spid="_x0000_s1031" type="#_x0000_t202" alt="PUBLIC" style="position:absolute;margin-left:0;margin-top:0;width:33.15pt;height:33.3pt;z-index:2516777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2F44CC41" w14:textId="7D5CAE5B" w:rsidR="002B47E2" w:rsidRPr="002B47E2" w:rsidRDefault="002B47E2" w:rsidP="002B47E2">
                    <w:pPr>
                      <w:rPr>
                        <w:rFonts w:ascii="Aptos" w:eastAsia="Aptos" w:hAnsi="Aptos" w:cs="Aptos"/>
                        <w:noProof/>
                        <w:color w:val="000000"/>
                        <w:sz w:val="20"/>
                        <w:szCs w:val="20"/>
                      </w:rPr>
                    </w:pPr>
                    <w:r w:rsidRPr="002B47E2">
                      <w:rPr>
                        <w:rFonts w:ascii="Aptos" w:eastAsia="Aptos" w:hAnsi="Aptos" w:cs="Aptos"/>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3" behindDoc="0" locked="0" layoutInCell="0" allowOverlap="1" wp14:anchorId="179E9C22" wp14:editId="3AD87727">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F92D4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79E9C22" id="_x0000_s1032"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WwFg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eGPbYQnXE9Rz0zHvLVwpnWDMf&#10;nplDqnFslG94wkNqwF5wsiipwf38mz/mIwMYpaRF6ZTU/9gzJyjR3wxy83l8fR21ln7QcG+928Fr&#10;9s09oCrH+EAsT2bMDXowpYPmFdW9jN0wxAzHniUNg3kfeiHj6+BiuUxJqCrLwtpsLI+lI2YR2Zfu&#10;lTl7gj8gcY8wiIsV71joc3u0l/sAUiWKIr49mifYUZGJudPriZJ/+5+yLm988QsAAP//AwBQSwME&#10;FAAGAAgAAAAhAIx/UFrbAAAABwEAAA8AAABkcnMvZG93bnJldi54bWxMj8FOwzAMhu9IvENkJG4s&#10;GZMoK00nBNoFCYluu3DLGtNWJE7VZG15e9wTnGzrtz5/Lnazd2LEIXaBNKxXCgRSHWxHjYbTcX/3&#10;CCImQ9a4QKjhByPsyuurwuQ2TFTheEiNYAjF3GhoU+pzKWPdojdxFXokzr7C4E3icWikHczEcO/k&#10;vVIP0puO+EJrenxpsf4+XDxTtq9vc3rPPkJ01X4a/ecpq3qtb2/m5ycQCef0twyLPqtDyU7ncCEb&#10;hdPAjyQNG8V1SdfbpTtryDYKZFnI//7lLwAAAP//AwBQSwECLQAUAAYACAAAACEAtoM4kv4AAADh&#10;AQAAEwAAAAAAAAAAAAAAAAAAAAAAW0NvbnRlbnRfVHlwZXNdLnhtbFBLAQItABQABgAIAAAAIQA4&#10;/SH/1gAAAJQBAAALAAAAAAAAAAAAAAAAAC8BAABfcmVscy8ucmVsc1BLAQItABQABgAIAAAAIQCi&#10;gFWwFgIAACsEAAAOAAAAAAAAAAAAAAAAAC4CAABkcnMvZTJvRG9jLnhtbFBLAQItABQABgAIAAAA&#10;IQCMf1Ba2wAAAAcBAAAPAAAAAAAAAAAAAAAAAHAEAABkcnMvZG93bnJldi54bWxQSwUGAAAAAAQA&#10;BADzAAAAeAUAAAAA&#10;" o:allowincell="f" filled="f" stroked="f" strokeweight=".5pt">
              <v:textbox inset=",0,,0">
                <w:txbxContent>
                  <w:p w14:paraId="74F92D4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600B8"/>
    <w:multiLevelType w:val="multilevel"/>
    <w:tmpl w:val="784469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3C303A"/>
    <w:multiLevelType w:val="multilevel"/>
    <w:tmpl w:val="5E9ABC7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3D0966"/>
    <w:multiLevelType w:val="multilevel"/>
    <w:tmpl w:val="641E5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A85DDE"/>
    <w:multiLevelType w:val="multilevel"/>
    <w:tmpl w:val="B0E82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4F0096"/>
    <w:multiLevelType w:val="multilevel"/>
    <w:tmpl w:val="5CE4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6B0EB7"/>
    <w:multiLevelType w:val="multilevel"/>
    <w:tmpl w:val="720CC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7B034E"/>
    <w:multiLevelType w:val="multilevel"/>
    <w:tmpl w:val="FFDE8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DF6BB8"/>
    <w:multiLevelType w:val="multilevel"/>
    <w:tmpl w:val="7742AA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610C01"/>
    <w:multiLevelType w:val="multilevel"/>
    <w:tmpl w:val="788866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E40D98"/>
    <w:multiLevelType w:val="multilevel"/>
    <w:tmpl w:val="759E9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C920EC"/>
    <w:multiLevelType w:val="multilevel"/>
    <w:tmpl w:val="674C6E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21"/>
  </w:num>
  <w:num w:numId="12" w16cid:durableId="60641277">
    <w:abstractNumId w:val="18"/>
  </w:num>
  <w:num w:numId="13" w16cid:durableId="2002156795">
    <w:abstractNumId w:val="12"/>
  </w:num>
  <w:num w:numId="14" w16cid:durableId="1295022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195476">
    <w:abstractNumId w:val="22"/>
  </w:num>
  <w:num w:numId="16" w16cid:durableId="102725322">
    <w:abstractNumId w:val="16"/>
  </w:num>
  <w:num w:numId="17" w16cid:durableId="483396200">
    <w:abstractNumId w:val="10"/>
  </w:num>
  <w:num w:numId="18" w16cid:durableId="418672832">
    <w:abstractNumId w:val="17"/>
  </w:num>
  <w:num w:numId="19" w16cid:durableId="1961649189">
    <w:abstractNumId w:val="20"/>
  </w:num>
  <w:num w:numId="20" w16cid:durableId="2042431363">
    <w:abstractNumId w:val="23"/>
  </w:num>
  <w:num w:numId="21" w16cid:durableId="2043284378">
    <w:abstractNumId w:val="19"/>
  </w:num>
  <w:num w:numId="22" w16cid:durableId="2069835500">
    <w:abstractNumId w:val="14"/>
  </w:num>
  <w:num w:numId="23" w16cid:durableId="1913081301">
    <w:abstractNumId w:val="15"/>
  </w:num>
  <w:num w:numId="24" w16cid:durableId="2712081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1F"/>
    <w:rsid w:val="00012E1F"/>
    <w:rsid w:val="00032829"/>
    <w:rsid w:val="00040561"/>
    <w:rsid w:val="00070937"/>
    <w:rsid w:val="00071C8A"/>
    <w:rsid w:val="0009570E"/>
    <w:rsid w:val="000B33B9"/>
    <w:rsid w:val="000B7559"/>
    <w:rsid w:val="000D64CD"/>
    <w:rsid w:val="000E0D15"/>
    <w:rsid w:val="000F4A4A"/>
    <w:rsid w:val="00105F31"/>
    <w:rsid w:val="001138C7"/>
    <w:rsid w:val="001811E2"/>
    <w:rsid w:val="001A262E"/>
    <w:rsid w:val="001D1EA9"/>
    <w:rsid w:val="00230F45"/>
    <w:rsid w:val="00231FBA"/>
    <w:rsid w:val="00236552"/>
    <w:rsid w:val="0024635F"/>
    <w:rsid w:val="00262A72"/>
    <w:rsid w:val="00273160"/>
    <w:rsid w:val="00281BB1"/>
    <w:rsid w:val="00290883"/>
    <w:rsid w:val="00290B1F"/>
    <w:rsid w:val="002A2F8E"/>
    <w:rsid w:val="002A3F1B"/>
    <w:rsid w:val="002B47E2"/>
    <w:rsid w:val="0030096D"/>
    <w:rsid w:val="00317618"/>
    <w:rsid w:val="00334EAD"/>
    <w:rsid w:val="00335FB1"/>
    <w:rsid w:val="00342C55"/>
    <w:rsid w:val="00373818"/>
    <w:rsid w:val="00397F9C"/>
    <w:rsid w:val="003F5384"/>
    <w:rsid w:val="003F62D8"/>
    <w:rsid w:val="004073BC"/>
    <w:rsid w:val="00413C4E"/>
    <w:rsid w:val="004319E7"/>
    <w:rsid w:val="00444AA1"/>
    <w:rsid w:val="0045412D"/>
    <w:rsid w:val="004A32BF"/>
    <w:rsid w:val="00513A29"/>
    <w:rsid w:val="005177A1"/>
    <w:rsid w:val="0052425B"/>
    <w:rsid w:val="00524A0A"/>
    <w:rsid w:val="00551989"/>
    <w:rsid w:val="005947A1"/>
    <w:rsid w:val="005A355E"/>
    <w:rsid w:val="005D1213"/>
    <w:rsid w:val="0062156C"/>
    <w:rsid w:val="006243FF"/>
    <w:rsid w:val="00650B15"/>
    <w:rsid w:val="00660C79"/>
    <w:rsid w:val="006A409A"/>
    <w:rsid w:val="006D16CE"/>
    <w:rsid w:val="00704C5B"/>
    <w:rsid w:val="00775903"/>
    <w:rsid w:val="007A398C"/>
    <w:rsid w:val="007C3F12"/>
    <w:rsid w:val="007D441B"/>
    <w:rsid w:val="00801105"/>
    <w:rsid w:val="00836BC4"/>
    <w:rsid w:val="00861B46"/>
    <w:rsid w:val="008904FB"/>
    <w:rsid w:val="008971B9"/>
    <w:rsid w:val="00897733"/>
    <w:rsid w:val="008C1A73"/>
    <w:rsid w:val="008C7086"/>
    <w:rsid w:val="008D113C"/>
    <w:rsid w:val="008D376F"/>
    <w:rsid w:val="00917BB1"/>
    <w:rsid w:val="00957E80"/>
    <w:rsid w:val="00975D21"/>
    <w:rsid w:val="00980531"/>
    <w:rsid w:val="009A240D"/>
    <w:rsid w:val="00A26CC4"/>
    <w:rsid w:val="00A9349C"/>
    <w:rsid w:val="00AD321D"/>
    <w:rsid w:val="00AE068C"/>
    <w:rsid w:val="00AE1DFE"/>
    <w:rsid w:val="00B33A7E"/>
    <w:rsid w:val="00B46E48"/>
    <w:rsid w:val="00B54CF4"/>
    <w:rsid w:val="00BD212E"/>
    <w:rsid w:val="00C569B9"/>
    <w:rsid w:val="00C9352C"/>
    <w:rsid w:val="00CA6D5A"/>
    <w:rsid w:val="00CB613C"/>
    <w:rsid w:val="00CD0362"/>
    <w:rsid w:val="00CD6AC0"/>
    <w:rsid w:val="00CE7AD0"/>
    <w:rsid w:val="00CF7EFB"/>
    <w:rsid w:val="00D0490E"/>
    <w:rsid w:val="00D33355"/>
    <w:rsid w:val="00D34112"/>
    <w:rsid w:val="00D35448"/>
    <w:rsid w:val="00DC02F6"/>
    <w:rsid w:val="00DD5EAC"/>
    <w:rsid w:val="00E11A56"/>
    <w:rsid w:val="00E44895"/>
    <w:rsid w:val="00E55CDF"/>
    <w:rsid w:val="00E563DF"/>
    <w:rsid w:val="00E67C75"/>
    <w:rsid w:val="00E90114"/>
    <w:rsid w:val="00EA72BA"/>
    <w:rsid w:val="00EC6077"/>
    <w:rsid w:val="00EC6A73"/>
    <w:rsid w:val="00EE54FD"/>
    <w:rsid w:val="00EF7F00"/>
    <w:rsid w:val="00F0686D"/>
    <w:rsid w:val="00F07048"/>
    <w:rsid w:val="00F40690"/>
    <w:rsid w:val="00F72274"/>
    <w:rsid w:val="00F76D50"/>
    <w:rsid w:val="00FF5D5A"/>
    <w:rsid w:val="126F89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30D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373818"/>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ure.scot/doc/advising-peatland-carbon-rich-soils-and-priority-peatland-habitats-development-management" TargetMode="External"/><Relationship Id="rId18" Type="http://schemas.openxmlformats.org/officeDocument/2006/relationships/hyperlink" Target="https://www.gov.scot/binaries/content/documents/govscot/publications/advice-and-guidance/2018/12/peatland-survey-guidance/documents/peatland-survey-guidance-2017/peatland-survey-guidance-2017/govscot%3Adocument/Guidance%2Bon%2Bdevelopments%2Bon%2Bpeatland%2B-%2Bpeatland%2Bsurvey%2B-%2B2017.pdf" TargetMode="External"/><Relationship Id="rId26" Type="http://schemas.openxmlformats.org/officeDocument/2006/relationships/hyperlink" Target="https://www.gov.scot/binaries/content/documents/govscot/publications/advice-and-guidance/2018/12/peatland-survey-guidance/documents/peatland-survey-guidance-2017/peatland-survey-guidance-2017/govscot%3Adocument/Guidance%2Bon%2Bdevelopments%2Bon%2Bpeatland%2B-%2Bpeatland%2Bsurvey%2B-%2B2017.pdf" TargetMode="External"/><Relationship Id="rId3" Type="http://schemas.openxmlformats.org/officeDocument/2006/relationships/styles" Target="styles.xml"/><Relationship Id="rId21" Type="http://schemas.openxmlformats.org/officeDocument/2006/relationships/hyperlink" Target="https://www.sepa.org.uk/media/154077/is_it_waste.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stepermitting@sepa.org.uk" TargetMode="External"/><Relationship Id="rId17" Type="http://schemas.openxmlformats.org/officeDocument/2006/relationships/hyperlink" Target="https://soils.environment.gov.scot/" TargetMode="External"/><Relationship Id="rId25" Type="http://schemas.openxmlformats.org/officeDocument/2006/relationships/hyperlink" Target="https://www.sepa.org.uk/environment/land/planning/guidance-and-advice-notes/"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soils.environment.gov.scot/maps/thematic-maps/carbon-and-peatland-2016-map/" TargetMode="External"/><Relationship Id="rId20" Type="http://schemas.openxmlformats.org/officeDocument/2006/relationships/hyperlink" Target="https://www.nature.scot/sites/default/files/2023-02/Guidance-Peatland-Action-Peatland-Condition-Assessment-Guide-A1916874.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cot/binaries/content/documents/govscot/publications/advice-and-guidance/2025/06/npf4-planning-guidance-policy-2-climate-mitigation-adaptation/documents/npf4-planning-guidance-policy-2-climate-mitigation-adaptation/npf4-planning-guidance-policy-2-climate-mitigation-adaptation/govscot%3Adocument/npf4-planning-guidance-policy-2-climate-mitigation-adaptation.pdf" TargetMode="External"/><Relationship Id="rId24" Type="http://schemas.openxmlformats.org/officeDocument/2006/relationships/hyperlink" Target="https://soils.environment.gov.scot/"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view.officeapps.live.com/op/view.aspx?src=https%3A%2F%2Fwww.sepa.org.uk%2Fmedia%2Fgzvbn53s%2Fdm-consultation-thresholds-and-standing-advice.docx&amp;wdOrigin=BROWSELINK" TargetMode="External"/><Relationship Id="rId23" Type="http://schemas.openxmlformats.org/officeDocument/2006/relationships/hyperlink" Target="https://www.nature.scot/professional-advice/planning-and-development/planning-and-development-advice/soils/carbon-and-peatland-2016-map" TargetMode="External"/><Relationship Id="rId28" Type="http://schemas.openxmlformats.org/officeDocument/2006/relationships/header" Target="header1.xml"/><Relationship Id="rId10" Type="http://schemas.openxmlformats.org/officeDocument/2006/relationships/hyperlink" Target="mailto:equalities@sepa.org.uk" TargetMode="External"/><Relationship Id="rId19" Type="http://schemas.openxmlformats.org/officeDocument/2006/relationships/hyperlink" Target="https://www.gov.scot/binaries/content/documents/govscot/publications/advice-and-guidance/2018/12/peatland-survey-guidance/documents/peatland-survey-guidance-2017/peatland-survey-guidance-2017/govscot%3Adocument/Guidance%2Bon%2Bdevelopments%2Bon%2Bpeatland%2B-%2Bpeatland%2Bsurvey%2B-%2B2017.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ature.scot/doc/peatland-action-technical-compendium" TargetMode="External"/><Relationship Id="rId22" Type="http://schemas.openxmlformats.org/officeDocument/2006/relationships/hyperlink" Target="https://www.scottishrenewables.com/assets/000/000/453/guidance_-_good_practice_during_wind_farm_construction_original.pdf?1579640559" TargetMode="External"/><Relationship Id="rId27" Type="http://schemas.openxmlformats.org/officeDocument/2006/relationships/hyperlink" Target="https://www.nature.scot/professional-advice/planning-and-development/planning-and-development-advice/soils/carbon-and-peatland-2016-map"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2914</Words>
  <Characters>16611</Characters>
  <Application>Microsoft Office Word</Application>
  <DocSecurity>0</DocSecurity>
  <Lines>138</Lines>
  <Paragraphs>38</Paragraphs>
  <ScaleCrop>false</ScaleCrop>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2025-12-11T11:04:00Z</dcterms:created>
  <dcterms:modified xsi:type="dcterms:W3CDTF">2025-12-11T11:05:00Z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27fcdb21,513b1cc0,1a1d2640</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67d4aac6,607d7485,4c478056</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2025-12-11T11:05:07Z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550bd870-0486-4152-a543-8f638f2c37a1</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ies>
</file>